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FF602" w14:textId="76F4C17D" w:rsidR="008C222E" w:rsidRPr="00542C27" w:rsidRDefault="008C222E" w:rsidP="00542C27">
      <w:pPr>
        <w:jc w:val="center"/>
        <w:rPr>
          <w:b/>
        </w:rPr>
      </w:pPr>
      <w:r w:rsidRPr="00542C27">
        <w:rPr>
          <w:b/>
        </w:rPr>
        <w:t>MUSE-SGI</w:t>
      </w:r>
      <w:r w:rsidR="00542C27" w:rsidRPr="00542C27">
        <w:rPr>
          <w:b/>
        </w:rPr>
        <w:t xml:space="preserve"> </w:t>
      </w:r>
      <w:r w:rsidR="00CC6FC1">
        <w:rPr>
          <w:b/>
        </w:rPr>
        <w:t>Non-</w:t>
      </w:r>
      <w:r w:rsidR="00720E6B">
        <w:rPr>
          <w:b/>
        </w:rPr>
        <w:t>Technical</w:t>
      </w:r>
      <w:r w:rsidR="00CC6FC1">
        <w:rPr>
          <w:b/>
        </w:rPr>
        <w:t xml:space="preserve"> </w:t>
      </w:r>
      <w:r w:rsidR="00720E6B">
        <w:rPr>
          <w:b/>
        </w:rPr>
        <w:t>Overview</w:t>
      </w:r>
    </w:p>
    <w:p w14:paraId="33FC2426" w14:textId="0DFF0ABC" w:rsidR="008C222E" w:rsidRDefault="00756CD1" w:rsidP="00542C27">
      <w:pPr>
        <w:jc w:val="center"/>
        <w:rPr>
          <w:b/>
        </w:rPr>
      </w:pPr>
      <w:r>
        <w:rPr>
          <w:b/>
        </w:rPr>
        <w:t>Power Sector</w:t>
      </w:r>
      <w:r w:rsidR="008C222E" w:rsidRPr="00542C27">
        <w:rPr>
          <w:b/>
        </w:rPr>
        <w:t xml:space="preserve"> Module</w:t>
      </w:r>
    </w:p>
    <w:p w14:paraId="6B03A5C9" w14:textId="16C69EBA" w:rsidR="008C222E" w:rsidRDefault="00CB3911" w:rsidP="008C222E">
      <w:pPr>
        <w:pStyle w:val="Heading1"/>
      </w:pPr>
      <w:r>
        <w:t>Context</w:t>
      </w:r>
    </w:p>
    <w:p w14:paraId="1E367484" w14:textId="77777777" w:rsidR="00536100" w:rsidRDefault="00536100" w:rsidP="00080AAA">
      <w:r>
        <w:t>T</w:t>
      </w:r>
      <w:r w:rsidRPr="00132BBF">
        <w:t>he power sector has a significant role to play in the future decarbonisation</w:t>
      </w:r>
      <w:r>
        <w:t>. In fact,</w:t>
      </w:r>
      <w:r w:rsidRPr="00132BBF">
        <w:t xml:space="preserve"> </w:t>
      </w:r>
      <w:r>
        <w:t>e</w:t>
      </w:r>
      <w:r w:rsidR="00132BBF" w:rsidRPr="00132BBF">
        <w:t>lectricity co</w:t>
      </w:r>
      <w:r w:rsidR="00492C81">
        <w:t>nsumption accounts for about 30% to 50</w:t>
      </w:r>
      <w:r w:rsidR="00132BBF" w:rsidRPr="00132BBF">
        <w:t xml:space="preserve">% of final energy consumption in most countries </w:t>
      </w:r>
      <w:r w:rsidR="00492C81">
        <w:t>[1]</w:t>
      </w:r>
      <w:r>
        <w:t>.</w:t>
      </w:r>
    </w:p>
    <w:p w14:paraId="24768F44" w14:textId="06C0332C" w:rsidR="00080AAA" w:rsidRDefault="00536100" w:rsidP="00080AAA">
      <w:r>
        <w:t xml:space="preserve">In order </w:t>
      </w:r>
      <w:r w:rsidRPr="00132BBF">
        <w:t xml:space="preserve">to meet </w:t>
      </w:r>
      <w:r>
        <w:t xml:space="preserve">the binding </w:t>
      </w:r>
      <w:r w:rsidRPr="00132BBF">
        <w:t>environmental targets</w:t>
      </w:r>
      <w:r>
        <w:t xml:space="preserve"> on a global scale, the power system has to face</w:t>
      </w:r>
      <w:r w:rsidR="00132BBF" w:rsidRPr="00132BBF">
        <w:t xml:space="preserve"> a challenging technological transition </w:t>
      </w:r>
      <w:r>
        <w:t xml:space="preserve">[2]. </w:t>
      </w:r>
      <w:r w:rsidR="00132BBF" w:rsidRPr="00132BBF">
        <w:t xml:space="preserve">The role of fossil fuels in the power sector needs to </w:t>
      </w:r>
      <w:proofErr w:type="gramStart"/>
      <w:r w:rsidR="00132BBF" w:rsidRPr="00132BBF">
        <w:t>be integrated</w:t>
      </w:r>
      <w:proofErr w:type="gramEnd"/>
      <w:r w:rsidR="00132BBF" w:rsidRPr="00132BBF">
        <w:t xml:space="preserve"> with emerging and novel technologies capable of delivering a low-carbon energy system. The increasing share of variable renewable energy, market liberalization, and the advances on power storage, all together make the power system planning and operation more complex. Alongside the technology uptake, changes in policy frameworks related to the power sector </w:t>
      </w:r>
      <w:r>
        <w:t>largely</w:t>
      </w:r>
      <w:r w:rsidR="00132BBF" w:rsidRPr="00132BBF">
        <w:t xml:space="preserve"> affect the entire energy system</w:t>
      </w:r>
      <w:r>
        <w:t>.</w:t>
      </w:r>
    </w:p>
    <w:p w14:paraId="53DE249B" w14:textId="3B415CAA" w:rsidR="00CB3911" w:rsidRDefault="00ED6AB3" w:rsidP="00080AAA">
      <w:pPr>
        <w:pStyle w:val="Heading1"/>
      </w:pPr>
      <w:r>
        <w:t>Problem Statement</w:t>
      </w:r>
    </w:p>
    <w:p w14:paraId="42572A3F" w14:textId="3F6EA1CB" w:rsidR="001F5628" w:rsidRDefault="00132BBF" w:rsidP="00931904">
      <w:r w:rsidRPr="00132BBF">
        <w:t>Within the MUSE modelling environment, the power sector module</w:t>
      </w:r>
      <w:r w:rsidR="00C37494">
        <w:t>,</w:t>
      </w:r>
      <w:r w:rsidRPr="00132BBF">
        <w:t xml:space="preserve"> </w:t>
      </w:r>
      <w:r w:rsidR="00C37494">
        <w:t>PSM,</w:t>
      </w:r>
      <w:r w:rsidRPr="00132BBF">
        <w:t xml:space="preserve"> </w:t>
      </w:r>
      <w:proofErr w:type="gramStart"/>
      <w:r w:rsidRPr="00132BBF">
        <w:t>is designed</w:t>
      </w:r>
      <w:proofErr w:type="gramEnd"/>
      <w:r w:rsidRPr="00132BBF">
        <w:t xml:space="preserve"> to simulate real decision-making in power generation investments and operations in response to the change in fuel and carbon prices as well as electricity demand on a global scale. Given the electricity demand profile, fuel and carbon prices, the </w:t>
      </w:r>
      <w:r w:rsidR="00C37494">
        <w:t>PSM</w:t>
      </w:r>
      <w:r w:rsidRPr="00132BBF">
        <w:t xml:space="preserve"> must generate electricity prices, total system costs, fuel demands as well as greenhouse gas emissions associated to power generation on a global scale, disaggregated into regions and temporally resolved into </w:t>
      </w:r>
      <w:proofErr w:type="spellStart"/>
      <w:r w:rsidRPr="00132BBF">
        <w:t>timeslices</w:t>
      </w:r>
      <w:proofErr w:type="spellEnd"/>
      <w:r w:rsidRPr="00132BBF">
        <w:t xml:space="preserve">. Furthermore, the module must produce indicators such as capacity margin and loss of load with the same temporal and geographical resolution. The </w:t>
      </w:r>
      <w:r w:rsidR="00C37494">
        <w:t>PSM</w:t>
      </w:r>
      <w:r w:rsidRPr="00132BBF">
        <w:t xml:space="preserve"> module needs to be bottom-up and technology-rich to assess effects of changes in technology performance and policies.</w:t>
      </w:r>
    </w:p>
    <w:p w14:paraId="2E07BA75" w14:textId="24FC9C93" w:rsidR="00D611AA" w:rsidRDefault="00D611AA" w:rsidP="00D611AA">
      <w:pPr>
        <w:pStyle w:val="Heading1"/>
      </w:pPr>
      <w:r>
        <w:t>Module Approach</w:t>
      </w:r>
    </w:p>
    <w:p w14:paraId="3E0F7476" w14:textId="77777777" w:rsidR="00C37494" w:rsidRDefault="00132BBF" w:rsidP="001F5628">
      <w:r w:rsidRPr="00132BBF">
        <w:t xml:space="preserve">The </w:t>
      </w:r>
      <w:r w:rsidR="00C37494">
        <w:t>PSM</w:t>
      </w:r>
      <w:r w:rsidRPr="00132BBF">
        <w:t xml:space="preserve"> </w:t>
      </w:r>
      <w:proofErr w:type="gramStart"/>
      <w:r w:rsidRPr="00132BBF">
        <w:t>is based</w:t>
      </w:r>
      <w:proofErr w:type="gramEnd"/>
      <w:r w:rsidRPr="00132BBF">
        <w:t xml:space="preserve"> on a two-step simulation approach to model electricity system planning and operating decisions as close as possible to real investors' behaviour in the market.</w:t>
      </w:r>
    </w:p>
    <w:p w14:paraId="72FA250D" w14:textId="77777777" w:rsidR="00C37494" w:rsidRDefault="00132BBF" w:rsidP="001F5628">
      <w:r w:rsidRPr="00132BBF">
        <w:t xml:space="preserve">A merit-order approach based on Short Run Marginal Cost (SRMC) </w:t>
      </w:r>
      <w:proofErr w:type="gramStart"/>
      <w:r w:rsidRPr="00132BBF">
        <w:t>is used</w:t>
      </w:r>
      <w:proofErr w:type="gramEnd"/>
      <w:r w:rsidRPr="00132BBF">
        <w:t xml:space="preserve"> for the modelled regions composed of developed countries. Power plants dispatch follows the rule ‘low SRMC comes first’; as such</w:t>
      </w:r>
      <w:r w:rsidR="00C37494">
        <w:t>,</w:t>
      </w:r>
      <w:r w:rsidRPr="00132BBF">
        <w:t xml:space="preserve"> electricity demand </w:t>
      </w:r>
      <w:proofErr w:type="gramStart"/>
      <w:r w:rsidRPr="00132BBF">
        <w:t>is served</w:t>
      </w:r>
      <w:proofErr w:type="gramEnd"/>
      <w:r w:rsidRPr="00132BBF">
        <w:t xml:space="preserve"> first from generators operating at lower costs and </w:t>
      </w:r>
      <w:r w:rsidR="00C37494">
        <w:t>then from</w:t>
      </w:r>
      <w:r w:rsidRPr="00132BBF">
        <w:t xml:space="preserve"> the more expensive ones</w:t>
      </w:r>
      <w:r w:rsidR="00C37494">
        <w:t xml:space="preserve"> until demand is fulfilled</w:t>
      </w:r>
      <w:r w:rsidRPr="00132BBF">
        <w:t xml:space="preserve">. The market strike price is determined at the balance point between demand and supply and </w:t>
      </w:r>
      <w:proofErr w:type="gramStart"/>
      <w:r w:rsidRPr="00132BBF">
        <w:t>is used</w:t>
      </w:r>
      <w:proofErr w:type="gramEnd"/>
      <w:r w:rsidRPr="00132BBF">
        <w:t xml:space="preserve"> to calculate </w:t>
      </w:r>
      <w:r w:rsidR="00C37494" w:rsidRPr="00132BBF">
        <w:t>the generator profitability</w:t>
      </w:r>
      <w:r w:rsidR="00C37494">
        <w:t xml:space="preserve"> in terms of annual</w:t>
      </w:r>
      <w:r w:rsidRPr="00132BBF">
        <w:t xml:space="preserve"> cash flow. The decision on investment in new plants </w:t>
      </w:r>
      <w:proofErr w:type="gramStart"/>
      <w:r w:rsidRPr="00132BBF">
        <w:t>is only made</w:t>
      </w:r>
      <w:proofErr w:type="gramEnd"/>
      <w:r w:rsidRPr="00132BBF">
        <w:t xml:space="preserve"> on profitable generators, which ha</w:t>
      </w:r>
      <w:r w:rsidR="00C37494">
        <w:t>ve a positive annual cash flow.</w:t>
      </w:r>
    </w:p>
    <w:p w14:paraId="1B0E4A96" w14:textId="04323F93" w:rsidR="003A5AF5" w:rsidRDefault="00132BBF" w:rsidP="001F5628">
      <w:r w:rsidRPr="00132BBF">
        <w:t xml:space="preserve">For the modelled regions where an actual electricity market is not present, </w:t>
      </w:r>
      <w:r w:rsidR="00886EC9">
        <w:t xml:space="preserve">the </w:t>
      </w:r>
      <w:r w:rsidRPr="00132BBF">
        <w:t xml:space="preserve">PSM replicates the same approach using a different metric, </w:t>
      </w:r>
      <w:r w:rsidR="00C37494">
        <w:t xml:space="preserve">which is </w:t>
      </w:r>
      <w:r w:rsidRPr="00132BBF">
        <w:t xml:space="preserve">the plant </w:t>
      </w:r>
      <w:proofErr w:type="spellStart"/>
      <w:r w:rsidRPr="00132BBF">
        <w:t>le</w:t>
      </w:r>
      <w:r w:rsidR="00C37494">
        <w:t>velized</w:t>
      </w:r>
      <w:proofErr w:type="spellEnd"/>
      <w:r w:rsidR="00C37494">
        <w:t xml:space="preserve"> electricity cost (LCOE). T</w:t>
      </w:r>
      <w:r w:rsidRPr="00132BBF">
        <w:t xml:space="preserve">he generators dispatch order </w:t>
      </w:r>
      <w:proofErr w:type="gramStart"/>
      <w:r w:rsidRPr="00132BBF">
        <w:t>is built</w:t>
      </w:r>
      <w:proofErr w:type="gramEnd"/>
      <w:r w:rsidR="00C37494">
        <w:t xml:space="preserve"> from low</w:t>
      </w:r>
      <w:r w:rsidR="00B627E4">
        <w:t xml:space="preserve"> to high</w:t>
      </w:r>
      <w:r w:rsidR="00C37494">
        <w:t xml:space="preserve"> LCOE until the electricity demand is met</w:t>
      </w:r>
      <w:r w:rsidRPr="00132BBF">
        <w:t>.</w:t>
      </w:r>
      <w:bookmarkStart w:id="0" w:name="_GoBack"/>
      <w:bookmarkEnd w:id="0"/>
    </w:p>
    <w:p w14:paraId="4BEA2321" w14:textId="333382AE" w:rsidR="001F5628" w:rsidRDefault="001F5628" w:rsidP="001F5628"/>
    <w:p w14:paraId="154F8756" w14:textId="705285DC" w:rsidR="00B0128D" w:rsidRDefault="00B0128D" w:rsidP="001F5628">
      <w:r>
        <w:br w:type="page"/>
      </w:r>
    </w:p>
    <w:p w14:paraId="3032A176" w14:textId="4429DEA7" w:rsidR="008C222E" w:rsidRDefault="008C222E" w:rsidP="008C222E">
      <w:pPr>
        <w:pStyle w:val="Heading1"/>
      </w:pPr>
      <w:r>
        <w:lastRenderedPageBreak/>
        <w:t>Relationship with MUSE Modules</w:t>
      </w:r>
    </w:p>
    <w:p w14:paraId="32F365FF" w14:textId="31EEE752" w:rsidR="00F27088" w:rsidRDefault="00132BBF" w:rsidP="00AA7532">
      <w:r w:rsidRPr="00132BBF">
        <w:t xml:space="preserve">The </w:t>
      </w:r>
      <w:r w:rsidR="00734EA8">
        <w:t>PSM</w:t>
      </w:r>
      <w:r w:rsidRPr="00132BBF">
        <w:t xml:space="preserve"> module dynamically exchanges a set of variables with the Market Clearing Algorithm (</w:t>
      </w:r>
      <w:r w:rsidR="00F27088">
        <w:t>MCA</w:t>
      </w:r>
      <w:r w:rsidRPr="00132BBF">
        <w:t>) in MUSE to determine the electricity price in every modelled region</w:t>
      </w:r>
      <w:r w:rsidR="00886EC9">
        <w:t xml:space="preserve"> per </w:t>
      </w:r>
      <w:proofErr w:type="gramStart"/>
      <w:r w:rsidR="00886EC9">
        <w:t>time period</w:t>
      </w:r>
      <w:proofErr w:type="gramEnd"/>
      <w:r w:rsidR="00886EC9">
        <w:t xml:space="preserve"> and </w:t>
      </w:r>
      <w:proofErr w:type="spellStart"/>
      <w:r w:rsidR="00886EC9">
        <w:t>timeslice</w:t>
      </w:r>
      <w:proofErr w:type="spellEnd"/>
      <w:r w:rsidRPr="00132BBF">
        <w:t xml:space="preserve">. A snapshot of the data workflow for a generic iteration in a generic </w:t>
      </w:r>
      <w:proofErr w:type="gramStart"/>
      <w:r w:rsidRPr="00132BBF">
        <w:t>time period</w:t>
      </w:r>
      <w:proofErr w:type="gramEnd"/>
      <w:r w:rsidR="00886EC9">
        <w:t>,</w:t>
      </w:r>
      <w:r w:rsidRPr="00132BBF">
        <w:t xml:space="preserve"> </w:t>
      </w:r>
      <w:proofErr w:type="spellStart"/>
      <w:r w:rsidRPr="00132BBF">
        <w:t>timeslice</w:t>
      </w:r>
      <w:proofErr w:type="spellEnd"/>
      <w:r w:rsidRPr="00132BBF">
        <w:t xml:space="preserve"> </w:t>
      </w:r>
      <w:r w:rsidR="00886EC9">
        <w:t xml:space="preserve">and region </w:t>
      </w:r>
      <w:r w:rsidRPr="00132BBF">
        <w:t xml:space="preserve">is shown in Figure </w:t>
      </w:r>
      <w:r w:rsidR="00F27088">
        <w:t>1.</w:t>
      </w:r>
    </w:p>
    <w:p w14:paraId="7FAF4162" w14:textId="1B3D6D27" w:rsidR="001F5628" w:rsidRDefault="00132BBF" w:rsidP="00AA7532">
      <w:r w:rsidRPr="00132BBF">
        <w:t xml:space="preserve">The module uploads exogenous parameters for the techno-economic and environmental characterisation of each generator type per region. </w:t>
      </w:r>
      <w:r w:rsidR="00886EC9">
        <w:t>The full</w:t>
      </w:r>
      <w:r w:rsidRPr="00132BBF">
        <w:t xml:space="preserve"> data exchange protocol </w:t>
      </w:r>
      <w:r w:rsidR="00886EC9">
        <w:t>between the PSM and</w:t>
      </w:r>
      <w:r w:rsidR="00F27088">
        <w:t xml:space="preserve"> the next modules in MUSE </w:t>
      </w:r>
      <w:proofErr w:type="gramStart"/>
      <w:r w:rsidR="00886EC9">
        <w:t>i</w:t>
      </w:r>
      <w:r w:rsidR="00F27088">
        <w:t>s detailed</w:t>
      </w:r>
      <w:proofErr w:type="gramEnd"/>
      <w:r w:rsidR="00F27088">
        <w:t xml:space="preserve"> in Table 1</w:t>
      </w:r>
      <w:r w:rsidRPr="00132BBF">
        <w:t>.</w:t>
      </w:r>
    </w:p>
    <w:p w14:paraId="004266AC" w14:textId="77777777" w:rsidR="00464A2B" w:rsidRDefault="00464A2B" w:rsidP="00AA7532"/>
    <w:p w14:paraId="016C3E6D" w14:textId="791DA36C" w:rsidR="001F5628" w:rsidRDefault="003F1439" w:rsidP="001F5628">
      <w:pPr>
        <w:jc w:val="center"/>
      </w:pPr>
      <w:r>
        <w:rPr>
          <w:noProof/>
          <w:lang w:eastAsia="en-GB"/>
        </w:rPr>
        <w:drawing>
          <wp:inline distT="0" distB="0" distL="0" distR="0" wp14:anchorId="011369F6" wp14:editId="5E879C91">
            <wp:extent cx="3214800" cy="15624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SectorReducedForm.png"/>
                    <pic:cNvPicPr/>
                  </pic:nvPicPr>
                  <pic:blipFill>
                    <a:blip r:embed="rId6">
                      <a:extLst>
                        <a:ext uri="{28A0092B-C50C-407E-A947-70E740481C1C}">
                          <a14:useLocalDpi xmlns:a14="http://schemas.microsoft.com/office/drawing/2010/main" val="0"/>
                        </a:ext>
                      </a:extLst>
                    </a:blip>
                    <a:stretch>
                      <a:fillRect/>
                    </a:stretch>
                  </pic:blipFill>
                  <pic:spPr>
                    <a:xfrm>
                      <a:off x="0" y="0"/>
                      <a:ext cx="3214800" cy="1562400"/>
                    </a:xfrm>
                    <a:prstGeom prst="rect">
                      <a:avLst/>
                    </a:prstGeom>
                  </pic:spPr>
                </pic:pic>
              </a:graphicData>
            </a:graphic>
          </wp:inline>
        </w:drawing>
      </w:r>
    </w:p>
    <w:p w14:paraId="30A37C58" w14:textId="60E28EC9" w:rsidR="001F5628" w:rsidRPr="001F5628" w:rsidRDefault="000D79BD" w:rsidP="000D79BD">
      <w:pPr>
        <w:pStyle w:val="Caption1"/>
      </w:pPr>
      <w:r>
        <w:t xml:space="preserve">Figure 1: </w:t>
      </w:r>
      <w:r w:rsidR="0085474F">
        <w:t xml:space="preserve">Major interactions between </w:t>
      </w:r>
      <w:r w:rsidR="00756CD1">
        <w:t>PSM</w:t>
      </w:r>
      <w:r w:rsidR="0085474F">
        <w:t xml:space="preserve"> and the rest of MUSE</w:t>
      </w:r>
    </w:p>
    <w:p w14:paraId="36211BB2" w14:textId="77777777" w:rsidR="00AA7532" w:rsidRDefault="00AA7532" w:rsidP="00AA7532"/>
    <w:p w14:paraId="29204F4D" w14:textId="77777777" w:rsidR="00C808FB" w:rsidRDefault="00C808FB" w:rsidP="00AA7532"/>
    <w:p w14:paraId="29EADD42" w14:textId="66B1D7F6" w:rsidR="0085474F" w:rsidRPr="001F5628" w:rsidRDefault="00DB5B27" w:rsidP="0085474F">
      <w:pPr>
        <w:pStyle w:val="Caption1"/>
      </w:pPr>
      <w:proofErr w:type="gramStart"/>
      <w:r>
        <w:t xml:space="preserve">Table 1: Description of the data exchange protocol for the </w:t>
      </w:r>
      <w:r w:rsidR="00756CD1">
        <w:t>PS</w:t>
      </w:r>
      <w:r w:rsidR="00127480">
        <w:t>M.</w:t>
      </w:r>
      <w:proofErr w:type="gramEnd"/>
    </w:p>
    <w:tbl>
      <w:tblPr>
        <w:tblStyle w:val="GridTable2"/>
        <w:tblW w:w="9070" w:type="dxa"/>
        <w:jc w:val="center"/>
        <w:tblLook w:val="04A0" w:firstRow="1" w:lastRow="0" w:firstColumn="1" w:lastColumn="0" w:noHBand="0" w:noVBand="1"/>
      </w:tblPr>
      <w:tblGrid>
        <w:gridCol w:w="4535"/>
        <w:gridCol w:w="4535"/>
      </w:tblGrid>
      <w:tr w:rsidR="00AA7532" w14:paraId="0239B227" w14:textId="77777777" w:rsidTr="000D79B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5" w:type="dxa"/>
            <w:tcBorders>
              <w:bottom w:val="single" w:sz="24" w:space="0" w:color="auto"/>
            </w:tcBorders>
          </w:tcPr>
          <w:p w14:paraId="6F72B4C6" w14:textId="40996202" w:rsidR="00CE6FBE" w:rsidRDefault="00756CD1" w:rsidP="00CE6FBE">
            <w:r>
              <w:t>PSM</w:t>
            </w:r>
            <w:r w:rsidR="00AA7532">
              <w:t xml:space="preserve"> </w:t>
            </w:r>
            <w:r w:rsidR="00542C27">
              <w:t xml:space="preserve">Key </w:t>
            </w:r>
            <w:r w:rsidR="00CE6FBE">
              <w:t>Inputs</w:t>
            </w:r>
          </w:p>
        </w:tc>
        <w:tc>
          <w:tcPr>
            <w:tcW w:w="4535" w:type="dxa"/>
            <w:tcBorders>
              <w:bottom w:val="single" w:sz="24" w:space="0" w:color="auto"/>
            </w:tcBorders>
          </w:tcPr>
          <w:p w14:paraId="1E8E111C" w14:textId="00C8B104" w:rsidR="00CE6FBE" w:rsidRDefault="00756CD1" w:rsidP="00CE6FBE">
            <w:pPr>
              <w:cnfStyle w:val="100000000000" w:firstRow="1" w:lastRow="0" w:firstColumn="0" w:lastColumn="0" w:oddVBand="0" w:evenVBand="0" w:oddHBand="0" w:evenHBand="0" w:firstRowFirstColumn="0" w:firstRowLastColumn="0" w:lastRowFirstColumn="0" w:lastRowLastColumn="0"/>
            </w:pPr>
            <w:r>
              <w:t>PS</w:t>
            </w:r>
            <w:r w:rsidR="00AA7532">
              <w:t xml:space="preserve">M </w:t>
            </w:r>
            <w:r w:rsidR="00542C27">
              <w:t xml:space="preserve">Key </w:t>
            </w:r>
            <w:r w:rsidR="00CE6FBE">
              <w:t>Outputs</w:t>
            </w:r>
          </w:p>
        </w:tc>
      </w:tr>
      <w:tr w:rsidR="00AA7532" w14:paraId="51FB55BE" w14:textId="77777777" w:rsidTr="000D79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5" w:type="dxa"/>
            <w:tcBorders>
              <w:top w:val="single" w:sz="24" w:space="0" w:color="auto"/>
              <w:left w:val="single" w:sz="24" w:space="0" w:color="auto"/>
              <w:bottom w:val="single" w:sz="24" w:space="0" w:color="auto"/>
            </w:tcBorders>
          </w:tcPr>
          <w:p w14:paraId="364D2341" w14:textId="7E1B6D2B" w:rsidR="00924D6C" w:rsidRPr="00332A62" w:rsidRDefault="00924D6C" w:rsidP="00924D6C">
            <w:pPr>
              <w:rPr>
                <w:sz w:val="20"/>
              </w:rPr>
            </w:pPr>
            <w:r w:rsidRPr="00332A62">
              <w:rPr>
                <w:sz w:val="20"/>
              </w:rPr>
              <w:t>MUSE core dynamic variables</w:t>
            </w:r>
          </w:p>
          <w:p w14:paraId="31160BFA" w14:textId="1508EC95" w:rsidR="00132BBF" w:rsidRPr="00492C81" w:rsidRDefault="003F1439" w:rsidP="00132BBF">
            <w:pPr>
              <w:pStyle w:val="ListParagraph"/>
              <w:numPr>
                <w:ilvl w:val="0"/>
                <w:numId w:val="1"/>
              </w:numPr>
              <w:rPr>
                <w:sz w:val="20"/>
              </w:rPr>
            </w:pPr>
            <w:r>
              <w:rPr>
                <w:b w:val="0"/>
                <w:sz w:val="20"/>
              </w:rPr>
              <w:t>Forward e</w:t>
            </w:r>
            <w:r w:rsidR="00132BBF" w:rsidRPr="00492C81">
              <w:rPr>
                <w:b w:val="0"/>
                <w:sz w:val="20"/>
              </w:rPr>
              <w:t>lec</w:t>
            </w:r>
            <w:r w:rsidR="00492C81" w:rsidRPr="00492C81">
              <w:rPr>
                <w:b w:val="0"/>
                <w:sz w:val="20"/>
              </w:rPr>
              <w:t xml:space="preserve">tricity demand for </w:t>
            </w:r>
            <w:r>
              <w:rPr>
                <w:b w:val="0"/>
                <w:sz w:val="20"/>
              </w:rPr>
              <w:t xml:space="preserve">each </w:t>
            </w:r>
            <w:r w:rsidRPr="00492C81">
              <w:rPr>
                <w:b w:val="0"/>
                <w:sz w:val="20"/>
              </w:rPr>
              <w:t>time period</w:t>
            </w:r>
            <w:r w:rsidRPr="00492C81">
              <w:rPr>
                <w:b w:val="0"/>
                <w:sz w:val="20"/>
              </w:rPr>
              <w:t xml:space="preserve"> </w:t>
            </w:r>
            <w:r w:rsidR="00132BBF" w:rsidRPr="00492C81">
              <w:rPr>
                <w:b w:val="0"/>
                <w:sz w:val="20"/>
              </w:rPr>
              <w:t xml:space="preserve">with </w:t>
            </w:r>
            <w:proofErr w:type="spellStart"/>
            <w:r w:rsidR="00132BBF" w:rsidRPr="00492C81">
              <w:rPr>
                <w:b w:val="0"/>
                <w:sz w:val="20"/>
              </w:rPr>
              <w:t>timeslice</w:t>
            </w:r>
            <w:proofErr w:type="spellEnd"/>
            <w:r w:rsidR="00132BBF" w:rsidRPr="00492C81">
              <w:rPr>
                <w:b w:val="0"/>
                <w:sz w:val="20"/>
              </w:rPr>
              <w:t xml:space="preserve"> disaggregation (PJ</w:t>
            </w:r>
            <w:r w:rsidR="00F27088">
              <w:rPr>
                <w:b w:val="0"/>
                <w:sz w:val="20"/>
              </w:rPr>
              <w:t>/</w:t>
            </w:r>
            <w:r w:rsidR="00132BBF" w:rsidRPr="00492C81">
              <w:rPr>
                <w:b w:val="0"/>
                <w:sz w:val="20"/>
              </w:rPr>
              <w:t>year)</w:t>
            </w:r>
          </w:p>
          <w:p w14:paraId="4FE16A0B" w14:textId="0C831E50" w:rsidR="00492C81" w:rsidRDefault="00492C81" w:rsidP="00492C81">
            <w:pPr>
              <w:pStyle w:val="ListParagraph"/>
              <w:numPr>
                <w:ilvl w:val="0"/>
                <w:numId w:val="1"/>
              </w:numPr>
              <w:rPr>
                <w:b w:val="0"/>
                <w:sz w:val="20"/>
              </w:rPr>
            </w:pPr>
            <w:r w:rsidRPr="00492C81">
              <w:rPr>
                <w:b w:val="0"/>
                <w:sz w:val="20"/>
              </w:rPr>
              <w:t xml:space="preserve">Forward fuel price </w:t>
            </w:r>
            <w:r w:rsidR="003F1439" w:rsidRPr="00492C81">
              <w:rPr>
                <w:b w:val="0"/>
                <w:sz w:val="20"/>
              </w:rPr>
              <w:t xml:space="preserve">for </w:t>
            </w:r>
            <w:r w:rsidR="003F1439">
              <w:rPr>
                <w:b w:val="0"/>
                <w:sz w:val="20"/>
              </w:rPr>
              <w:t xml:space="preserve">each </w:t>
            </w:r>
            <w:r w:rsidR="003F1439" w:rsidRPr="00492C81">
              <w:rPr>
                <w:b w:val="0"/>
                <w:sz w:val="20"/>
              </w:rPr>
              <w:t xml:space="preserve">time period with </w:t>
            </w:r>
            <w:proofErr w:type="spellStart"/>
            <w:r w:rsidR="003F1439" w:rsidRPr="00492C81">
              <w:rPr>
                <w:b w:val="0"/>
                <w:sz w:val="20"/>
              </w:rPr>
              <w:t>timeslice</w:t>
            </w:r>
            <w:proofErr w:type="spellEnd"/>
            <w:r w:rsidR="003F1439" w:rsidRPr="00492C81">
              <w:rPr>
                <w:b w:val="0"/>
                <w:sz w:val="20"/>
              </w:rPr>
              <w:t xml:space="preserve"> disaggregation</w:t>
            </w:r>
            <w:r w:rsidRPr="00492C81">
              <w:rPr>
                <w:b w:val="0"/>
                <w:sz w:val="20"/>
              </w:rPr>
              <w:t xml:space="preserve"> (</w:t>
            </w:r>
            <w:r w:rsidR="00F27088">
              <w:rPr>
                <w:b w:val="0"/>
                <w:sz w:val="20"/>
              </w:rPr>
              <w:t>MUSD</w:t>
            </w:r>
            <w:r w:rsidR="00F27088" w:rsidRPr="00F27088">
              <w:rPr>
                <w:b w:val="0"/>
                <w:sz w:val="20"/>
                <w:vertAlign w:val="subscript"/>
              </w:rPr>
              <w:t>2010</w:t>
            </w:r>
            <w:r w:rsidR="00F27088">
              <w:rPr>
                <w:b w:val="0"/>
                <w:sz w:val="20"/>
              </w:rPr>
              <w:t>/</w:t>
            </w:r>
            <w:r w:rsidRPr="00492C81">
              <w:rPr>
                <w:b w:val="0"/>
                <w:sz w:val="20"/>
              </w:rPr>
              <w:t>PJ</w:t>
            </w:r>
            <w:r w:rsidR="00F27088">
              <w:rPr>
                <w:b w:val="0"/>
                <w:sz w:val="20"/>
              </w:rPr>
              <w:t>)</w:t>
            </w:r>
          </w:p>
          <w:p w14:paraId="47CD5D62" w14:textId="704E8D36" w:rsidR="00492C81" w:rsidRDefault="00F27088" w:rsidP="00492C81">
            <w:pPr>
              <w:pStyle w:val="ListParagraph"/>
              <w:numPr>
                <w:ilvl w:val="0"/>
                <w:numId w:val="1"/>
              </w:numPr>
              <w:rPr>
                <w:b w:val="0"/>
                <w:sz w:val="20"/>
              </w:rPr>
            </w:pPr>
            <w:r>
              <w:rPr>
                <w:b w:val="0"/>
                <w:sz w:val="20"/>
              </w:rPr>
              <w:t>Forward carbon price (MUSD</w:t>
            </w:r>
            <w:r w:rsidR="00492C81" w:rsidRPr="00F27088">
              <w:rPr>
                <w:b w:val="0"/>
                <w:sz w:val="20"/>
                <w:vertAlign w:val="subscript"/>
              </w:rPr>
              <w:t>2010</w:t>
            </w:r>
            <w:r>
              <w:rPr>
                <w:b w:val="0"/>
                <w:sz w:val="20"/>
              </w:rPr>
              <w:t>/GtCO</w:t>
            </w:r>
            <w:r w:rsidRPr="00F27088">
              <w:rPr>
                <w:b w:val="0"/>
                <w:sz w:val="20"/>
                <w:vertAlign w:val="subscript"/>
              </w:rPr>
              <w:t>2</w:t>
            </w:r>
            <w:r w:rsidR="00492C81" w:rsidRPr="00492C81">
              <w:rPr>
                <w:b w:val="0"/>
                <w:sz w:val="20"/>
              </w:rPr>
              <w:t>)</w:t>
            </w:r>
          </w:p>
          <w:p w14:paraId="108C4ECD" w14:textId="77777777" w:rsidR="00F27088" w:rsidRPr="00492C81" w:rsidRDefault="00F27088" w:rsidP="00F27088">
            <w:pPr>
              <w:pStyle w:val="ListParagraph"/>
              <w:ind w:left="360"/>
              <w:rPr>
                <w:b w:val="0"/>
                <w:sz w:val="20"/>
              </w:rPr>
            </w:pPr>
          </w:p>
          <w:p w14:paraId="4DBF30E0" w14:textId="1F4EE78F" w:rsidR="00924D6C" w:rsidRPr="00132BBF" w:rsidRDefault="00756CD1" w:rsidP="00132BBF">
            <w:pPr>
              <w:rPr>
                <w:sz w:val="20"/>
              </w:rPr>
            </w:pPr>
            <w:r w:rsidRPr="00132BBF">
              <w:rPr>
                <w:sz w:val="20"/>
              </w:rPr>
              <w:t>PSM-</w:t>
            </w:r>
            <w:r w:rsidR="00924D6C" w:rsidRPr="00132BBF">
              <w:rPr>
                <w:sz w:val="20"/>
              </w:rPr>
              <w:t>specific input parameters</w:t>
            </w:r>
          </w:p>
          <w:p w14:paraId="0645217D" w14:textId="77777777" w:rsidR="008307BE" w:rsidRPr="00492C81" w:rsidRDefault="00492C81" w:rsidP="00492C81">
            <w:pPr>
              <w:pStyle w:val="ListParagraph"/>
              <w:numPr>
                <w:ilvl w:val="0"/>
                <w:numId w:val="13"/>
              </w:numPr>
              <w:ind w:left="357" w:hanging="357"/>
              <w:rPr>
                <w:sz w:val="20"/>
              </w:rPr>
            </w:pPr>
            <w:r w:rsidRPr="00492C81">
              <w:rPr>
                <w:b w:val="0"/>
                <w:sz w:val="20"/>
              </w:rPr>
              <w:t>Techno-economic characterisation (conversion efficiency, unit investment and operating costs) of each generation plant by technology type in each time period and region</w:t>
            </w:r>
          </w:p>
          <w:p w14:paraId="7021BEE1" w14:textId="77777777" w:rsidR="00492C81" w:rsidRPr="00492C81" w:rsidRDefault="00492C81" w:rsidP="00492C81">
            <w:pPr>
              <w:pStyle w:val="ListParagraph"/>
              <w:numPr>
                <w:ilvl w:val="0"/>
                <w:numId w:val="13"/>
              </w:numPr>
              <w:ind w:left="357" w:hanging="357"/>
              <w:rPr>
                <w:b w:val="0"/>
                <w:sz w:val="20"/>
              </w:rPr>
            </w:pPr>
            <w:r w:rsidRPr="00492C81">
              <w:rPr>
                <w:b w:val="0"/>
                <w:sz w:val="20"/>
              </w:rPr>
              <w:t>Existing generation plants for the model base year by technology type, including their retirement profile</w:t>
            </w:r>
          </w:p>
          <w:p w14:paraId="7A742EE6" w14:textId="33548803" w:rsidR="00492C81" w:rsidRPr="00492C81" w:rsidRDefault="00492C81" w:rsidP="00492C81">
            <w:pPr>
              <w:pStyle w:val="ListParagraph"/>
              <w:numPr>
                <w:ilvl w:val="0"/>
                <w:numId w:val="13"/>
              </w:numPr>
              <w:ind w:left="357" w:hanging="357"/>
              <w:rPr>
                <w:sz w:val="20"/>
              </w:rPr>
            </w:pPr>
            <w:r w:rsidRPr="00492C81">
              <w:rPr>
                <w:b w:val="0"/>
                <w:sz w:val="20"/>
              </w:rPr>
              <w:t>Policy framework and fiscal regimes</w:t>
            </w:r>
          </w:p>
        </w:tc>
        <w:tc>
          <w:tcPr>
            <w:tcW w:w="4535" w:type="dxa"/>
            <w:tcBorders>
              <w:top w:val="single" w:sz="24" w:space="0" w:color="auto"/>
              <w:bottom w:val="single" w:sz="24" w:space="0" w:color="auto"/>
              <w:right w:val="single" w:sz="24" w:space="0" w:color="auto"/>
            </w:tcBorders>
          </w:tcPr>
          <w:p w14:paraId="7D37F9D0" w14:textId="7280AECF" w:rsidR="00924D6C" w:rsidRPr="00332A62" w:rsidRDefault="00924D6C" w:rsidP="00924D6C">
            <w:pPr>
              <w:cnfStyle w:val="000000100000" w:firstRow="0" w:lastRow="0" w:firstColumn="0" w:lastColumn="0" w:oddVBand="0" w:evenVBand="0" w:oddHBand="1" w:evenHBand="0" w:firstRowFirstColumn="0" w:firstRowLastColumn="0" w:lastRowFirstColumn="0" w:lastRowLastColumn="0"/>
              <w:rPr>
                <w:b/>
                <w:sz w:val="20"/>
              </w:rPr>
            </w:pPr>
            <w:r w:rsidRPr="00332A62">
              <w:rPr>
                <w:b/>
                <w:sz w:val="20"/>
              </w:rPr>
              <w:t>MUSE core dynamic variables</w:t>
            </w:r>
          </w:p>
          <w:p w14:paraId="66473BD8" w14:textId="7030C09E" w:rsidR="00756CD1" w:rsidRDefault="003F1439" w:rsidP="00132BB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Cs/>
                <w:sz w:val="20"/>
              </w:rPr>
            </w:pPr>
            <w:r>
              <w:rPr>
                <w:bCs/>
                <w:sz w:val="20"/>
              </w:rPr>
              <w:t>Forward e</w:t>
            </w:r>
            <w:r w:rsidR="00132BBF" w:rsidRPr="00132BBF">
              <w:rPr>
                <w:bCs/>
                <w:sz w:val="20"/>
              </w:rPr>
              <w:t>lectricity price for each time perio</w:t>
            </w:r>
            <w:r w:rsidR="00F27088">
              <w:rPr>
                <w:bCs/>
                <w:sz w:val="20"/>
              </w:rPr>
              <w:t xml:space="preserve">d, region and </w:t>
            </w:r>
            <w:proofErr w:type="spellStart"/>
            <w:r w:rsidR="00F27088">
              <w:rPr>
                <w:bCs/>
                <w:sz w:val="20"/>
              </w:rPr>
              <w:t>timeslice</w:t>
            </w:r>
            <w:proofErr w:type="spellEnd"/>
            <w:r w:rsidR="00F27088">
              <w:rPr>
                <w:bCs/>
                <w:sz w:val="20"/>
              </w:rPr>
              <w:t xml:space="preserve"> (MUSD</w:t>
            </w:r>
            <w:r w:rsidR="00132BBF" w:rsidRPr="00F27088">
              <w:rPr>
                <w:bCs/>
                <w:sz w:val="20"/>
                <w:vertAlign w:val="subscript"/>
              </w:rPr>
              <w:t>2010</w:t>
            </w:r>
            <w:r w:rsidR="00F27088">
              <w:rPr>
                <w:bCs/>
                <w:sz w:val="20"/>
              </w:rPr>
              <w:t>/</w:t>
            </w:r>
            <w:r w:rsidR="00132BBF" w:rsidRPr="00132BBF">
              <w:rPr>
                <w:bCs/>
                <w:sz w:val="20"/>
              </w:rPr>
              <w:t>PJ</w:t>
            </w:r>
            <w:r w:rsidR="00F27088">
              <w:rPr>
                <w:bCs/>
                <w:sz w:val="20"/>
              </w:rPr>
              <w:t>)</w:t>
            </w:r>
          </w:p>
          <w:p w14:paraId="2C845032" w14:textId="6529CAF8" w:rsidR="00492C81" w:rsidRDefault="003F1439" w:rsidP="00492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Cs/>
                <w:sz w:val="20"/>
              </w:rPr>
            </w:pPr>
            <w:r>
              <w:rPr>
                <w:bCs/>
                <w:sz w:val="20"/>
              </w:rPr>
              <w:t>Forward</w:t>
            </w:r>
            <w:r w:rsidRPr="00492C81">
              <w:rPr>
                <w:bCs/>
                <w:sz w:val="20"/>
              </w:rPr>
              <w:t xml:space="preserve"> </w:t>
            </w:r>
            <w:r>
              <w:rPr>
                <w:bCs/>
                <w:sz w:val="20"/>
              </w:rPr>
              <w:t>e</w:t>
            </w:r>
            <w:r w:rsidR="00492C81" w:rsidRPr="00492C81">
              <w:rPr>
                <w:bCs/>
                <w:sz w:val="20"/>
              </w:rPr>
              <w:t xml:space="preserve">missions for each time period, region and </w:t>
            </w:r>
            <w:proofErr w:type="spellStart"/>
            <w:r w:rsidR="00492C81" w:rsidRPr="00492C81">
              <w:rPr>
                <w:bCs/>
                <w:sz w:val="20"/>
              </w:rPr>
              <w:t>timeslice</w:t>
            </w:r>
            <w:proofErr w:type="spellEnd"/>
            <w:r w:rsidR="00492C81" w:rsidRPr="00492C81">
              <w:rPr>
                <w:bCs/>
                <w:sz w:val="20"/>
              </w:rPr>
              <w:t xml:space="preserve"> (</w:t>
            </w:r>
            <w:r w:rsidR="00F27088">
              <w:rPr>
                <w:bCs/>
                <w:sz w:val="20"/>
              </w:rPr>
              <w:t>GtCO</w:t>
            </w:r>
            <w:r w:rsidR="00492C81" w:rsidRPr="00F27088">
              <w:rPr>
                <w:bCs/>
                <w:sz w:val="20"/>
                <w:vertAlign w:val="subscript"/>
              </w:rPr>
              <w:t>2</w:t>
            </w:r>
            <w:r w:rsidR="00F27088">
              <w:rPr>
                <w:bCs/>
                <w:sz w:val="20"/>
              </w:rPr>
              <w:t>/</w:t>
            </w:r>
            <w:r w:rsidR="00492C81" w:rsidRPr="00492C81">
              <w:rPr>
                <w:bCs/>
                <w:sz w:val="20"/>
              </w:rPr>
              <w:t>year)</w:t>
            </w:r>
          </w:p>
          <w:p w14:paraId="2674354F" w14:textId="22442EAC" w:rsidR="00492C81" w:rsidRPr="00132BBF" w:rsidRDefault="003F1439" w:rsidP="00492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Cs/>
                <w:sz w:val="20"/>
              </w:rPr>
            </w:pPr>
            <w:r>
              <w:rPr>
                <w:bCs/>
                <w:sz w:val="20"/>
              </w:rPr>
              <w:t>Forward</w:t>
            </w:r>
            <w:r w:rsidRPr="00492C81">
              <w:rPr>
                <w:bCs/>
                <w:sz w:val="20"/>
              </w:rPr>
              <w:t xml:space="preserve"> </w:t>
            </w:r>
            <w:r>
              <w:rPr>
                <w:bCs/>
                <w:sz w:val="20"/>
              </w:rPr>
              <w:t>e</w:t>
            </w:r>
            <w:r w:rsidR="00492C81" w:rsidRPr="00492C81">
              <w:rPr>
                <w:bCs/>
                <w:sz w:val="20"/>
              </w:rPr>
              <w:t>lectricity generatio</w:t>
            </w:r>
            <w:r>
              <w:rPr>
                <w:bCs/>
                <w:sz w:val="20"/>
              </w:rPr>
              <w:t xml:space="preserve">n for each time period, region </w:t>
            </w:r>
            <w:r w:rsidR="00492C81" w:rsidRPr="00492C81">
              <w:rPr>
                <w:bCs/>
                <w:sz w:val="20"/>
              </w:rPr>
              <w:t xml:space="preserve">and </w:t>
            </w:r>
            <w:proofErr w:type="spellStart"/>
            <w:r w:rsidR="00492C81" w:rsidRPr="00492C81">
              <w:rPr>
                <w:bCs/>
                <w:sz w:val="20"/>
              </w:rPr>
              <w:t>timeslice</w:t>
            </w:r>
            <w:proofErr w:type="spellEnd"/>
            <w:r w:rsidR="00492C81" w:rsidRPr="00492C81">
              <w:rPr>
                <w:bCs/>
                <w:sz w:val="20"/>
              </w:rPr>
              <w:t xml:space="preserve"> (PJ</w:t>
            </w:r>
            <w:r w:rsidR="00F27088">
              <w:rPr>
                <w:bCs/>
                <w:sz w:val="20"/>
              </w:rPr>
              <w:t>/</w:t>
            </w:r>
            <w:r w:rsidR="00492C81" w:rsidRPr="00492C81">
              <w:rPr>
                <w:bCs/>
                <w:sz w:val="20"/>
              </w:rPr>
              <w:t>year)</w:t>
            </w:r>
          </w:p>
          <w:p w14:paraId="3F848445" w14:textId="53831C06" w:rsidR="00924D6C" w:rsidRPr="00332A62" w:rsidRDefault="00756CD1" w:rsidP="00924D6C">
            <w:pPr>
              <w:cnfStyle w:val="000000100000" w:firstRow="0" w:lastRow="0" w:firstColumn="0" w:lastColumn="0" w:oddVBand="0" w:evenVBand="0" w:oddHBand="1" w:evenHBand="0" w:firstRowFirstColumn="0" w:firstRowLastColumn="0" w:lastRowFirstColumn="0" w:lastRowLastColumn="0"/>
              <w:rPr>
                <w:b/>
                <w:sz w:val="20"/>
              </w:rPr>
            </w:pPr>
            <w:r>
              <w:rPr>
                <w:b/>
                <w:sz w:val="20"/>
              </w:rPr>
              <w:t>PS</w:t>
            </w:r>
            <w:r w:rsidR="00924D6C" w:rsidRPr="00332A62">
              <w:rPr>
                <w:b/>
                <w:sz w:val="20"/>
              </w:rPr>
              <w:t>M-specific outputs</w:t>
            </w:r>
          </w:p>
          <w:p w14:paraId="651FCAB8" w14:textId="77777777" w:rsidR="008307BE" w:rsidRPr="00492C81" w:rsidRDefault="00492C81" w:rsidP="00492C81">
            <w:pPr>
              <w:pStyle w:val="ListParagraph"/>
              <w:numPr>
                <w:ilvl w:val="0"/>
                <w:numId w:val="14"/>
              </w:numPr>
              <w:ind w:left="357" w:hanging="357"/>
              <w:cnfStyle w:val="000000100000" w:firstRow="0" w:lastRow="0" w:firstColumn="0" w:lastColumn="0" w:oddVBand="0" w:evenVBand="0" w:oddHBand="1" w:evenHBand="0" w:firstRowFirstColumn="0" w:firstRowLastColumn="0" w:lastRowFirstColumn="0" w:lastRowLastColumn="0"/>
              <w:rPr>
                <w:sz w:val="20"/>
              </w:rPr>
            </w:pPr>
            <w:r w:rsidRPr="00492C81">
              <w:rPr>
                <w:bCs/>
                <w:sz w:val="20"/>
              </w:rPr>
              <w:t>Power generation investment and retirement in capacity terms by time period, technology type and region</w:t>
            </w:r>
          </w:p>
          <w:p w14:paraId="67EF47E2" w14:textId="323543F1" w:rsidR="00492C81" w:rsidRDefault="00492C81" w:rsidP="00492C81">
            <w:pPr>
              <w:pStyle w:val="ListParagraph"/>
              <w:numPr>
                <w:ilvl w:val="0"/>
                <w:numId w:val="14"/>
              </w:numPr>
              <w:ind w:left="357" w:hanging="357"/>
              <w:cnfStyle w:val="000000100000" w:firstRow="0" w:lastRow="0" w:firstColumn="0" w:lastColumn="0" w:oddVBand="0" w:evenVBand="0" w:oddHBand="1" w:evenHBand="0" w:firstRowFirstColumn="0" w:firstRowLastColumn="0" w:lastRowFirstColumn="0" w:lastRowLastColumn="0"/>
              <w:rPr>
                <w:sz w:val="20"/>
              </w:rPr>
            </w:pPr>
            <w:r w:rsidRPr="00492C81">
              <w:rPr>
                <w:sz w:val="20"/>
              </w:rPr>
              <w:t xml:space="preserve">Aggregate CAPEX and OPEX by time period, </w:t>
            </w:r>
            <w:proofErr w:type="spellStart"/>
            <w:r w:rsidRPr="00492C81">
              <w:rPr>
                <w:sz w:val="20"/>
              </w:rPr>
              <w:t>timeslice</w:t>
            </w:r>
            <w:proofErr w:type="spellEnd"/>
            <w:r w:rsidRPr="00492C81">
              <w:rPr>
                <w:sz w:val="20"/>
              </w:rPr>
              <w:t xml:space="preserve"> and region</w:t>
            </w:r>
          </w:p>
          <w:p w14:paraId="56381841" w14:textId="7534CBF9" w:rsidR="00492C81" w:rsidRPr="00492C81" w:rsidRDefault="00492C81" w:rsidP="00492C81">
            <w:pPr>
              <w:pStyle w:val="ListParagraph"/>
              <w:numPr>
                <w:ilvl w:val="0"/>
                <w:numId w:val="14"/>
              </w:numPr>
              <w:ind w:left="357" w:hanging="357"/>
              <w:cnfStyle w:val="000000100000" w:firstRow="0" w:lastRow="0" w:firstColumn="0" w:lastColumn="0" w:oddVBand="0" w:evenVBand="0" w:oddHBand="1" w:evenHBand="0" w:firstRowFirstColumn="0" w:firstRowLastColumn="0" w:lastRowFirstColumn="0" w:lastRowLastColumn="0"/>
              <w:rPr>
                <w:sz w:val="20"/>
              </w:rPr>
            </w:pPr>
            <w:r w:rsidRPr="00492C81">
              <w:rPr>
                <w:sz w:val="20"/>
              </w:rPr>
              <w:t>Power generation operation details (e.g. activity, energy consumption and emissions) by time slice, technology type and region</w:t>
            </w:r>
          </w:p>
        </w:tc>
      </w:tr>
    </w:tbl>
    <w:p w14:paraId="6A423C06" w14:textId="193E4B9C" w:rsidR="008C222E" w:rsidRPr="008E59EF" w:rsidRDefault="00AD18BB" w:rsidP="008E59EF">
      <w:pPr>
        <w:pStyle w:val="Heading1"/>
      </w:pPr>
      <w:r>
        <w:t>References</w:t>
      </w:r>
    </w:p>
    <w:p w14:paraId="4631E014" w14:textId="49B9AC19" w:rsidR="00492C81" w:rsidRDefault="00492C81" w:rsidP="00492C81">
      <w:pPr>
        <w:pStyle w:val="ListParagraph"/>
        <w:numPr>
          <w:ilvl w:val="0"/>
          <w:numId w:val="2"/>
        </w:numPr>
      </w:pPr>
      <w:proofErr w:type="gramStart"/>
      <w:r w:rsidRPr="00492C81">
        <w:t>IEA World Energy Statistics and Balances.</w:t>
      </w:r>
      <w:proofErr w:type="gramEnd"/>
      <w:r w:rsidRPr="00492C81">
        <w:t xml:space="preserve"> </w:t>
      </w:r>
      <w:proofErr w:type="gramStart"/>
      <w:r w:rsidRPr="00492C81">
        <w:t>International Energy Agency, 2016</w:t>
      </w:r>
      <w:r>
        <w:t>.</w:t>
      </w:r>
      <w:proofErr w:type="gramEnd"/>
    </w:p>
    <w:p w14:paraId="7D13E703" w14:textId="2C09F1CF" w:rsidR="008C222E" w:rsidRDefault="00492C81" w:rsidP="00492C81">
      <w:pPr>
        <w:pStyle w:val="ListParagraph"/>
        <w:numPr>
          <w:ilvl w:val="0"/>
          <w:numId w:val="2"/>
        </w:numPr>
      </w:pPr>
      <w:proofErr w:type="gramStart"/>
      <w:r w:rsidRPr="00492C81">
        <w:t>Electricity Information.</w:t>
      </w:r>
      <w:proofErr w:type="gramEnd"/>
      <w:r w:rsidRPr="00492C81">
        <w:t xml:space="preserve"> </w:t>
      </w:r>
      <w:proofErr w:type="gramStart"/>
      <w:r w:rsidRPr="00492C81">
        <w:t>International Energy Agency, 2015</w:t>
      </w:r>
      <w:r>
        <w:t>.</w:t>
      </w:r>
      <w:proofErr w:type="gramEnd"/>
    </w:p>
    <w:sectPr w:rsidR="008C222E" w:rsidSect="00B40D4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2A2F6C"/>
    <w:lvl w:ilvl="0">
      <w:start w:val="1"/>
      <w:numFmt w:val="decimal"/>
      <w:lvlText w:val="%1."/>
      <w:lvlJc w:val="left"/>
      <w:pPr>
        <w:tabs>
          <w:tab w:val="num" w:pos="1492"/>
        </w:tabs>
        <w:ind w:left="1492" w:hanging="360"/>
      </w:pPr>
    </w:lvl>
  </w:abstractNum>
  <w:abstractNum w:abstractNumId="1">
    <w:nsid w:val="FFFFFF7D"/>
    <w:multiLevelType w:val="singleLevel"/>
    <w:tmpl w:val="E07EDC4C"/>
    <w:lvl w:ilvl="0">
      <w:start w:val="1"/>
      <w:numFmt w:val="decimal"/>
      <w:lvlText w:val="%1."/>
      <w:lvlJc w:val="left"/>
      <w:pPr>
        <w:tabs>
          <w:tab w:val="num" w:pos="1209"/>
        </w:tabs>
        <w:ind w:left="1209" w:hanging="360"/>
      </w:pPr>
    </w:lvl>
  </w:abstractNum>
  <w:abstractNum w:abstractNumId="2">
    <w:nsid w:val="FFFFFF7E"/>
    <w:multiLevelType w:val="singleLevel"/>
    <w:tmpl w:val="922069FC"/>
    <w:lvl w:ilvl="0">
      <w:start w:val="1"/>
      <w:numFmt w:val="decimal"/>
      <w:lvlText w:val="%1."/>
      <w:lvlJc w:val="left"/>
      <w:pPr>
        <w:tabs>
          <w:tab w:val="num" w:pos="926"/>
        </w:tabs>
        <w:ind w:left="926" w:hanging="360"/>
      </w:pPr>
    </w:lvl>
  </w:abstractNum>
  <w:abstractNum w:abstractNumId="3">
    <w:nsid w:val="FFFFFF7F"/>
    <w:multiLevelType w:val="singleLevel"/>
    <w:tmpl w:val="EA36CC5A"/>
    <w:lvl w:ilvl="0">
      <w:start w:val="1"/>
      <w:numFmt w:val="decimal"/>
      <w:lvlText w:val="%1."/>
      <w:lvlJc w:val="left"/>
      <w:pPr>
        <w:tabs>
          <w:tab w:val="num" w:pos="643"/>
        </w:tabs>
        <w:ind w:left="643" w:hanging="360"/>
      </w:pPr>
    </w:lvl>
  </w:abstractNum>
  <w:abstractNum w:abstractNumId="4">
    <w:nsid w:val="FFFFFF80"/>
    <w:multiLevelType w:val="singleLevel"/>
    <w:tmpl w:val="E18EBB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0848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CA69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221C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FED060"/>
    <w:lvl w:ilvl="0">
      <w:start w:val="1"/>
      <w:numFmt w:val="decimal"/>
      <w:lvlText w:val="%1."/>
      <w:lvlJc w:val="left"/>
      <w:pPr>
        <w:tabs>
          <w:tab w:val="num" w:pos="360"/>
        </w:tabs>
        <w:ind w:left="360" w:hanging="360"/>
      </w:pPr>
    </w:lvl>
  </w:abstractNum>
  <w:abstractNum w:abstractNumId="9">
    <w:nsid w:val="FFFFFF89"/>
    <w:multiLevelType w:val="singleLevel"/>
    <w:tmpl w:val="81F874C6"/>
    <w:lvl w:ilvl="0">
      <w:start w:val="1"/>
      <w:numFmt w:val="bullet"/>
      <w:lvlText w:val=""/>
      <w:lvlJc w:val="left"/>
      <w:pPr>
        <w:tabs>
          <w:tab w:val="num" w:pos="360"/>
        </w:tabs>
        <w:ind w:left="360" w:hanging="360"/>
      </w:pPr>
      <w:rPr>
        <w:rFonts w:ascii="Symbol" w:hAnsi="Symbol" w:hint="default"/>
      </w:rPr>
    </w:lvl>
  </w:abstractNum>
  <w:abstractNum w:abstractNumId="10">
    <w:nsid w:val="35B403DC"/>
    <w:multiLevelType w:val="hybridMultilevel"/>
    <w:tmpl w:val="D3AA9984"/>
    <w:lvl w:ilvl="0" w:tplc="2A86CC3A">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C454012"/>
    <w:multiLevelType w:val="hybridMultilevel"/>
    <w:tmpl w:val="8D04571A"/>
    <w:lvl w:ilvl="0" w:tplc="C1E2A1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D5922FA"/>
    <w:multiLevelType w:val="hybridMultilevel"/>
    <w:tmpl w:val="80A82A06"/>
    <w:lvl w:ilvl="0" w:tplc="2A86CC3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8B32C4C"/>
    <w:multiLevelType w:val="hybridMultilevel"/>
    <w:tmpl w:val="31AE28DE"/>
    <w:lvl w:ilvl="0" w:tplc="2A86CC3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22E"/>
    <w:rsid w:val="00080AAA"/>
    <w:rsid w:val="000D79BD"/>
    <w:rsid w:val="00127480"/>
    <w:rsid w:val="00132BBF"/>
    <w:rsid w:val="001C40EA"/>
    <w:rsid w:val="001F5628"/>
    <w:rsid w:val="00332A62"/>
    <w:rsid w:val="00332CB4"/>
    <w:rsid w:val="003A5AF5"/>
    <w:rsid w:val="003F1439"/>
    <w:rsid w:val="004502A1"/>
    <w:rsid w:val="004602E5"/>
    <w:rsid w:val="00464A2B"/>
    <w:rsid w:val="00492C81"/>
    <w:rsid w:val="00536100"/>
    <w:rsid w:val="00542C27"/>
    <w:rsid w:val="00593577"/>
    <w:rsid w:val="006D00B0"/>
    <w:rsid w:val="00720E6B"/>
    <w:rsid w:val="007307B4"/>
    <w:rsid w:val="00734EA8"/>
    <w:rsid w:val="00743B6B"/>
    <w:rsid w:val="00756CD1"/>
    <w:rsid w:val="007D7D52"/>
    <w:rsid w:val="00816CCA"/>
    <w:rsid w:val="008307BE"/>
    <w:rsid w:val="00832154"/>
    <w:rsid w:val="0085474F"/>
    <w:rsid w:val="008608EC"/>
    <w:rsid w:val="00886EC9"/>
    <w:rsid w:val="00892ABF"/>
    <w:rsid w:val="008C222E"/>
    <w:rsid w:val="008E59EF"/>
    <w:rsid w:val="00924D6C"/>
    <w:rsid w:val="00931904"/>
    <w:rsid w:val="00A94B4D"/>
    <w:rsid w:val="00AA7532"/>
    <w:rsid w:val="00AB696E"/>
    <w:rsid w:val="00AD18BB"/>
    <w:rsid w:val="00AF72EF"/>
    <w:rsid w:val="00B0128D"/>
    <w:rsid w:val="00B40D4B"/>
    <w:rsid w:val="00B627E4"/>
    <w:rsid w:val="00B94CFD"/>
    <w:rsid w:val="00BB3233"/>
    <w:rsid w:val="00C37494"/>
    <w:rsid w:val="00C808FB"/>
    <w:rsid w:val="00CB3911"/>
    <w:rsid w:val="00CC6FC1"/>
    <w:rsid w:val="00CE6FBE"/>
    <w:rsid w:val="00D611AA"/>
    <w:rsid w:val="00DB2A36"/>
    <w:rsid w:val="00DB5B27"/>
    <w:rsid w:val="00ED6AB3"/>
    <w:rsid w:val="00F27088"/>
    <w:rsid w:val="00FA22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ABF"/>
    <w:pPr>
      <w:jc w:val="both"/>
    </w:pPr>
  </w:style>
  <w:style w:type="paragraph" w:styleId="Heading1">
    <w:name w:val="heading 1"/>
    <w:basedOn w:val="Normal"/>
    <w:next w:val="Normal"/>
    <w:link w:val="Heading1Char"/>
    <w:uiPriority w:val="9"/>
    <w:qFormat/>
    <w:rsid w:val="008C22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222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22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C222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E6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
    <w:name w:val="Grid Table 2 Accent 5"/>
    <w:basedOn w:val="TableNormal"/>
    <w:uiPriority w:val="47"/>
    <w:rsid w:val="00CE6FBE"/>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3">
    <w:name w:val="Grid Table 3"/>
    <w:basedOn w:val="TableNormal"/>
    <w:uiPriority w:val="48"/>
    <w:rsid w:val="00CE6FB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
    <w:name w:val="Grid Table 2"/>
    <w:basedOn w:val="TableNormal"/>
    <w:uiPriority w:val="47"/>
    <w:rsid w:val="00CE6FB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BB3233"/>
    <w:pPr>
      <w:ind w:left="720"/>
      <w:contextualSpacing/>
    </w:pPr>
  </w:style>
  <w:style w:type="paragraph" w:styleId="BalloonText">
    <w:name w:val="Balloon Text"/>
    <w:basedOn w:val="Normal"/>
    <w:link w:val="BalloonTextChar"/>
    <w:uiPriority w:val="99"/>
    <w:semiHidden/>
    <w:unhideWhenUsed/>
    <w:rsid w:val="001F5628"/>
    <w:rPr>
      <w:rFonts w:ascii="Tahoma" w:hAnsi="Tahoma" w:cs="Tahoma"/>
      <w:sz w:val="16"/>
      <w:szCs w:val="16"/>
    </w:rPr>
  </w:style>
  <w:style w:type="character" w:customStyle="1" w:styleId="BalloonTextChar">
    <w:name w:val="Balloon Text Char"/>
    <w:basedOn w:val="DefaultParagraphFont"/>
    <w:link w:val="BalloonText"/>
    <w:uiPriority w:val="99"/>
    <w:semiHidden/>
    <w:rsid w:val="001F5628"/>
    <w:rPr>
      <w:rFonts w:ascii="Tahoma" w:hAnsi="Tahoma" w:cs="Tahoma"/>
      <w:sz w:val="16"/>
      <w:szCs w:val="16"/>
    </w:rPr>
  </w:style>
  <w:style w:type="paragraph" w:customStyle="1" w:styleId="Caption1">
    <w:name w:val="Caption1"/>
    <w:basedOn w:val="Normal"/>
    <w:qFormat/>
    <w:rsid w:val="00931904"/>
    <w:pPr>
      <w:spacing w:before="10" w:after="10"/>
      <w:ind w:left="720" w:firstLine="720"/>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ABF"/>
    <w:pPr>
      <w:jc w:val="both"/>
    </w:pPr>
  </w:style>
  <w:style w:type="paragraph" w:styleId="Heading1">
    <w:name w:val="heading 1"/>
    <w:basedOn w:val="Normal"/>
    <w:next w:val="Normal"/>
    <w:link w:val="Heading1Char"/>
    <w:uiPriority w:val="9"/>
    <w:qFormat/>
    <w:rsid w:val="008C22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222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22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C222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E6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
    <w:name w:val="Grid Table 2 Accent 5"/>
    <w:basedOn w:val="TableNormal"/>
    <w:uiPriority w:val="47"/>
    <w:rsid w:val="00CE6FBE"/>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3">
    <w:name w:val="Grid Table 3"/>
    <w:basedOn w:val="TableNormal"/>
    <w:uiPriority w:val="48"/>
    <w:rsid w:val="00CE6FB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
    <w:name w:val="Grid Table 2"/>
    <w:basedOn w:val="TableNormal"/>
    <w:uiPriority w:val="47"/>
    <w:rsid w:val="00CE6FB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BB3233"/>
    <w:pPr>
      <w:ind w:left="720"/>
      <w:contextualSpacing/>
    </w:pPr>
  </w:style>
  <w:style w:type="paragraph" w:styleId="BalloonText">
    <w:name w:val="Balloon Text"/>
    <w:basedOn w:val="Normal"/>
    <w:link w:val="BalloonTextChar"/>
    <w:uiPriority w:val="99"/>
    <w:semiHidden/>
    <w:unhideWhenUsed/>
    <w:rsid w:val="001F5628"/>
    <w:rPr>
      <w:rFonts w:ascii="Tahoma" w:hAnsi="Tahoma" w:cs="Tahoma"/>
      <w:sz w:val="16"/>
      <w:szCs w:val="16"/>
    </w:rPr>
  </w:style>
  <w:style w:type="character" w:customStyle="1" w:styleId="BalloonTextChar">
    <w:name w:val="Balloon Text Char"/>
    <w:basedOn w:val="DefaultParagraphFont"/>
    <w:link w:val="BalloonText"/>
    <w:uiPriority w:val="99"/>
    <w:semiHidden/>
    <w:rsid w:val="001F5628"/>
    <w:rPr>
      <w:rFonts w:ascii="Tahoma" w:hAnsi="Tahoma" w:cs="Tahoma"/>
      <w:sz w:val="16"/>
      <w:szCs w:val="16"/>
    </w:rPr>
  </w:style>
  <w:style w:type="paragraph" w:customStyle="1" w:styleId="Caption1">
    <w:name w:val="Caption1"/>
    <w:basedOn w:val="Normal"/>
    <w:qFormat/>
    <w:rsid w:val="00931904"/>
    <w:pPr>
      <w:spacing w:before="10" w:after="10"/>
      <w:ind w:left="720" w:firstLine="7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9902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Giarola, Sara</cp:lastModifiedBy>
  <cp:revision>15</cp:revision>
  <cp:lastPrinted>2016-03-31T09:37:00Z</cp:lastPrinted>
  <dcterms:created xsi:type="dcterms:W3CDTF">2016-03-31T07:27:00Z</dcterms:created>
  <dcterms:modified xsi:type="dcterms:W3CDTF">2016-03-31T09:46:00Z</dcterms:modified>
</cp:coreProperties>
</file>