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16" w:rsidRPr="00C31886" w:rsidRDefault="00604D16" w:rsidP="00604D16">
      <w:pPr>
        <w:pStyle w:val="Heading1"/>
        <w:numPr>
          <w:ilvl w:val="0"/>
          <w:numId w:val="0"/>
        </w:numPr>
      </w:pPr>
      <w:r>
        <w:t xml:space="preserve">CI9.S.1.0 </w:t>
      </w:r>
      <w:r w:rsidRPr="00053447">
        <w:t xml:space="preserve">Systems approaches in engineering: introduction and foundations </w:t>
      </w:r>
    </w:p>
    <w:tbl>
      <w:tblPr>
        <w:tblW w:w="5000" w:type="pct"/>
        <w:tblLook w:val="00A0" w:firstRow="1" w:lastRow="0" w:firstColumn="1" w:lastColumn="0" w:noHBand="0" w:noVBand="0"/>
      </w:tblPr>
      <w:tblGrid>
        <w:gridCol w:w="2272"/>
        <w:gridCol w:w="6970"/>
      </w:tblGrid>
      <w:tr w:rsidR="00604D16" w:rsidRPr="00C31886" w:rsidTr="002A7186">
        <w:tc>
          <w:tcPr>
            <w:tcW w:w="1229" w:type="pct"/>
            <w:tcBorders>
              <w:top w:val="single" w:sz="48" w:space="0" w:color="27849A"/>
              <w:bottom w:val="single" w:sz="12" w:space="0" w:color="27849A"/>
            </w:tcBorders>
          </w:tcPr>
          <w:p w:rsidR="00604D16" w:rsidRPr="00C31886" w:rsidRDefault="00604D16" w:rsidP="002A7186">
            <w:pPr>
              <w:pStyle w:val="BodyText1"/>
              <w:spacing w:line="276" w:lineRule="auto"/>
              <w:rPr>
                <w:rFonts w:cs="Arial"/>
                <w:b/>
              </w:rPr>
            </w:pPr>
            <w:r w:rsidRPr="00C31886">
              <w:rPr>
                <w:rFonts w:cs="Arial"/>
                <w:b/>
              </w:rPr>
              <w:t>Course leader:</w:t>
            </w:r>
          </w:p>
        </w:tc>
        <w:tc>
          <w:tcPr>
            <w:tcW w:w="3771" w:type="pct"/>
            <w:tcBorders>
              <w:top w:val="single" w:sz="48" w:space="0" w:color="27849A"/>
              <w:bottom w:val="single" w:sz="12" w:space="0" w:color="27849A"/>
            </w:tcBorders>
          </w:tcPr>
          <w:p w:rsidR="00604D16" w:rsidRPr="00C31886" w:rsidRDefault="00604D16" w:rsidP="002A7186">
            <w:pPr>
              <w:pStyle w:val="BodyText1"/>
              <w:spacing w:line="276" w:lineRule="auto"/>
              <w:rPr>
                <w:rFonts w:cs="Arial"/>
              </w:rPr>
            </w:pPr>
            <w:r>
              <w:rPr>
                <w:rFonts w:cs="Arial"/>
                <w:noProof/>
                <w:lang w:eastAsia="en-GB"/>
              </w:rPr>
              <w:drawing>
                <wp:anchor distT="0" distB="0" distL="114300" distR="114300" simplePos="0" relativeHeight="251659264" behindDoc="0" locked="0" layoutInCell="1" allowOverlap="1" wp14:anchorId="5835BC65" wp14:editId="208961B5">
                  <wp:simplePos x="0" y="0"/>
                  <wp:positionH relativeFrom="column">
                    <wp:posOffset>3597044</wp:posOffset>
                  </wp:positionH>
                  <wp:positionV relativeFrom="paragraph">
                    <wp:posOffset>32195</wp:posOffset>
                  </wp:positionV>
                  <wp:extent cx="1103391" cy="1163782"/>
                  <wp:effectExtent l="171450" t="133350" r="363459" b="303068"/>
                  <wp:wrapNone/>
                  <wp:docPr id="12"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1" cstate="print"/>
                          <a:srcRect/>
                          <a:stretch>
                            <a:fillRect/>
                          </a:stretch>
                        </pic:blipFill>
                        <pic:spPr bwMode="auto">
                          <a:xfrm>
                            <a:off x="0" y="0"/>
                            <a:ext cx="1103391" cy="1163782"/>
                          </a:xfrm>
                          <a:prstGeom prst="rect">
                            <a:avLst/>
                          </a:prstGeom>
                          <a:ln>
                            <a:noFill/>
                          </a:ln>
                          <a:effectLst>
                            <a:outerShdw blurRad="292100" dist="139700" dir="2700000" algn="tl" rotWithShape="0">
                              <a:srgbClr val="333333">
                                <a:alpha val="65000"/>
                              </a:srgbClr>
                            </a:outerShdw>
                          </a:effectLst>
                        </pic:spPr>
                      </pic:pic>
                    </a:graphicData>
                  </a:graphic>
                </wp:anchor>
              </w:drawing>
            </w:r>
            <w:r>
              <w:rPr>
                <w:rFonts w:cs="Arial"/>
              </w:rPr>
              <w:t>Professor David Fisk</w:t>
            </w:r>
          </w:p>
        </w:tc>
      </w:tr>
      <w:tr w:rsidR="00604D16" w:rsidRPr="00C31886" w:rsidTr="002A7186">
        <w:tc>
          <w:tcPr>
            <w:tcW w:w="1229"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b/>
              </w:rPr>
            </w:pPr>
            <w:r w:rsidRPr="00C31886">
              <w:rPr>
                <w:rFonts w:cs="Arial"/>
                <w:b/>
              </w:rPr>
              <w:t>Other contributors:</w:t>
            </w:r>
          </w:p>
        </w:tc>
        <w:tc>
          <w:tcPr>
            <w:tcW w:w="3771"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rPr>
            </w:pPr>
            <w:r>
              <w:rPr>
                <w:rFonts w:cs="Arial"/>
              </w:rPr>
              <w:t>D</w:t>
            </w:r>
            <w:r w:rsidR="00BD1EC3">
              <w:rPr>
                <w:rFonts w:cs="Arial"/>
              </w:rPr>
              <w:t>r Christian Onof, Ms Sarah Noyé</w:t>
            </w:r>
          </w:p>
        </w:tc>
      </w:tr>
      <w:tr w:rsidR="00604D16" w:rsidRPr="00C31886" w:rsidTr="002A7186">
        <w:tc>
          <w:tcPr>
            <w:tcW w:w="1229"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rPr>
            </w:pPr>
            <w:r w:rsidRPr="00C31886">
              <w:rPr>
                <w:rFonts w:cs="Arial"/>
              </w:rPr>
              <w:t>Term:</w:t>
            </w:r>
          </w:p>
        </w:tc>
        <w:tc>
          <w:tcPr>
            <w:tcW w:w="3771"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rPr>
            </w:pPr>
            <w:r>
              <w:rPr>
                <w:rFonts w:cs="Arial"/>
              </w:rPr>
              <w:t xml:space="preserve">Autumn </w:t>
            </w:r>
          </w:p>
        </w:tc>
      </w:tr>
      <w:tr w:rsidR="00604D16" w:rsidRPr="00C31886" w:rsidTr="002A7186">
        <w:tc>
          <w:tcPr>
            <w:tcW w:w="1229"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rPr>
            </w:pPr>
            <w:r w:rsidRPr="00C31886">
              <w:rPr>
                <w:rFonts w:cs="Arial"/>
              </w:rPr>
              <w:t>Contact hours:</w:t>
            </w:r>
          </w:p>
        </w:tc>
        <w:tc>
          <w:tcPr>
            <w:tcW w:w="3771" w:type="pct"/>
            <w:tcBorders>
              <w:top w:val="single" w:sz="12" w:space="0" w:color="27849A"/>
              <w:bottom w:val="single" w:sz="12" w:space="0" w:color="27849A"/>
            </w:tcBorders>
          </w:tcPr>
          <w:p w:rsidR="00604D16" w:rsidRPr="00C31886" w:rsidRDefault="00604D16" w:rsidP="002A7186">
            <w:pPr>
              <w:pStyle w:val="BodyText1"/>
              <w:spacing w:line="276" w:lineRule="auto"/>
              <w:rPr>
                <w:rFonts w:cs="Arial"/>
              </w:rPr>
            </w:pPr>
            <w:r>
              <w:rPr>
                <w:rFonts w:cs="Arial"/>
              </w:rPr>
              <w:t>25</w:t>
            </w:r>
          </w:p>
        </w:tc>
      </w:tr>
    </w:tbl>
    <w:p w:rsidR="00604D16" w:rsidRPr="00C31886" w:rsidRDefault="00604D16" w:rsidP="00604D16">
      <w:pPr>
        <w:spacing w:after="0"/>
        <w:ind w:left="591" w:hanging="576"/>
        <w:jc w:val="both"/>
        <w:rPr>
          <w:rFonts w:ascii="Arial" w:hAnsi="Arial" w:cs="Arial"/>
          <w:b/>
          <w:sz w:val="20"/>
          <w:szCs w:val="20"/>
        </w:rPr>
      </w:pPr>
    </w:p>
    <w:p w:rsidR="00604D16" w:rsidRDefault="00604D16" w:rsidP="00604D16">
      <w:pPr>
        <w:pStyle w:val="Heading2"/>
      </w:pPr>
      <w:r>
        <w:t>1.0</w:t>
      </w:r>
      <w:r>
        <w:tab/>
      </w:r>
      <w:r w:rsidRPr="00C31886">
        <w:t xml:space="preserve">Aims </w:t>
      </w:r>
    </w:p>
    <w:p w:rsidR="00604D16" w:rsidRPr="00C31886" w:rsidRDefault="00604D16" w:rsidP="00604D16">
      <w:pPr>
        <w:spacing w:after="0"/>
        <w:ind w:left="585"/>
        <w:jc w:val="both"/>
        <w:rPr>
          <w:rFonts w:ascii="Arial" w:hAnsi="Arial" w:cs="Arial"/>
          <w:b/>
          <w:sz w:val="20"/>
          <w:szCs w:val="20"/>
        </w:rPr>
      </w:pPr>
    </w:p>
    <w:p w:rsidR="00604D16" w:rsidRPr="00C31886" w:rsidRDefault="00604D16" w:rsidP="00604D16">
      <w:pPr>
        <w:spacing w:after="0"/>
        <w:jc w:val="both"/>
        <w:rPr>
          <w:rFonts w:ascii="Arial" w:hAnsi="Arial" w:cs="Arial"/>
          <w:color w:val="000000"/>
          <w:sz w:val="20"/>
          <w:szCs w:val="20"/>
        </w:rPr>
      </w:pPr>
      <w:r>
        <w:rPr>
          <w:rFonts w:ascii="Arial" w:hAnsi="Arial" w:cs="Arial"/>
          <w:color w:val="000000"/>
          <w:sz w:val="20"/>
          <w:szCs w:val="20"/>
        </w:rPr>
        <w:t xml:space="preserve">This introductory module aims to introduce </w:t>
      </w:r>
      <w:r w:rsidR="00970142">
        <w:rPr>
          <w:rFonts w:ascii="Arial" w:hAnsi="Arial" w:cs="Arial"/>
          <w:color w:val="000000"/>
          <w:sz w:val="20"/>
          <w:szCs w:val="20"/>
        </w:rPr>
        <w:t>the ‘Systems thinking’ used to handle the engineering of large and complex systems, into</w:t>
      </w:r>
      <w:r w:rsidR="009E0DD8">
        <w:rPr>
          <w:rFonts w:ascii="Arial" w:hAnsi="Arial" w:cs="Arial"/>
          <w:color w:val="000000"/>
          <w:sz w:val="20"/>
          <w:szCs w:val="20"/>
        </w:rPr>
        <w:t xml:space="preserve"> S</w:t>
      </w:r>
      <w:r>
        <w:rPr>
          <w:rFonts w:ascii="Arial" w:hAnsi="Arial" w:cs="Arial"/>
          <w:color w:val="000000"/>
          <w:sz w:val="20"/>
          <w:szCs w:val="20"/>
        </w:rPr>
        <w:t xml:space="preserve">ervices engineering. It begins with a high level view of what is meant by systems and how those ideas can be extended from engineering to much wider </w:t>
      </w:r>
      <w:r w:rsidR="009E0DD8">
        <w:rPr>
          <w:rFonts w:ascii="Arial" w:hAnsi="Arial" w:cs="Arial"/>
          <w:color w:val="000000"/>
          <w:sz w:val="20"/>
          <w:szCs w:val="20"/>
        </w:rPr>
        <w:t xml:space="preserve">range of </w:t>
      </w:r>
      <w:proofErr w:type="gramStart"/>
      <w:r>
        <w:rPr>
          <w:rFonts w:ascii="Arial" w:hAnsi="Arial" w:cs="Arial"/>
          <w:color w:val="000000"/>
          <w:sz w:val="20"/>
          <w:szCs w:val="20"/>
        </w:rPr>
        <w:t>applications</w:t>
      </w:r>
      <w:proofErr w:type="gramEnd"/>
      <w:r>
        <w:rPr>
          <w:rFonts w:ascii="Arial" w:hAnsi="Arial" w:cs="Arial"/>
          <w:color w:val="000000"/>
          <w:sz w:val="20"/>
          <w:szCs w:val="20"/>
        </w:rPr>
        <w:t xml:space="preserve"> in problem definition and management. The static descriptions of systems will be used to introduce critical path analysis and analyse the flaws in conventional design processes.  The concept of feedback loop forms the introduction to dynamic systems and state space descriptions.  Stochastic dynamics are explored through the noisy temperature signal induced by weather variation. Systems approaches will be applied to ‘wicked’ problems.</w:t>
      </w:r>
    </w:p>
    <w:p w:rsidR="00604D16" w:rsidRPr="00C31886" w:rsidRDefault="00604D16" w:rsidP="00604D16">
      <w:pPr>
        <w:pStyle w:val="itemise"/>
        <w:spacing w:line="276" w:lineRule="auto"/>
        <w:ind w:left="0" w:firstLine="0"/>
        <w:rPr>
          <w:rFonts w:cs="Arial"/>
        </w:rPr>
      </w:pPr>
    </w:p>
    <w:p w:rsidR="00BD1EC3" w:rsidRDefault="00BD1EC3" w:rsidP="00BD1EC3">
      <w:pPr>
        <w:pStyle w:val="Heading2"/>
      </w:pPr>
      <w:r>
        <w:t>2</w:t>
      </w:r>
      <w:r>
        <w:t>.0</w:t>
      </w:r>
      <w:r>
        <w:tab/>
      </w:r>
      <w:r w:rsidRPr="00C31886">
        <w:t>Syllabus</w:t>
      </w:r>
    </w:p>
    <w:p w:rsidR="00BD1EC3" w:rsidRPr="00BD1EC3" w:rsidRDefault="00BD1EC3" w:rsidP="00BD1EC3">
      <w:pPr>
        <w:pStyle w:val="BodyText1"/>
      </w:pPr>
    </w:p>
    <w:p w:rsidR="00BD1EC3" w:rsidRPr="00C31886" w:rsidRDefault="00BD1EC3" w:rsidP="00BD1EC3">
      <w:pPr>
        <w:pStyle w:val="BodyText1"/>
        <w:spacing w:line="276" w:lineRule="auto"/>
        <w:rPr>
          <w:rFonts w:cs="Arial"/>
        </w:rPr>
      </w:pPr>
      <w:r>
        <w:rPr>
          <w:rFonts w:cs="Arial"/>
          <w:color w:val="000000"/>
        </w:rPr>
        <w:t>After an initial taught segment students will develop and amplify their application skills throughout the course. The main topics covered are:</w:t>
      </w:r>
    </w:p>
    <w:p w:rsidR="00BD1EC3" w:rsidRPr="00C31886" w:rsidRDefault="00BD1EC3" w:rsidP="00BD1EC3">
      <w:pPr>
        <w:numPr>
          <w:ilvl w:val="0"/>
          <w:numId w:val="2"/>
        </w:numPr>
        <w:autoSpaceDE w:val="0"/>
        <w:spacing w:after="0"/>
        <w:jc w:val="both"/>
        <w:rPr>
          <w:rFonts w:ascii="Arial" w:hAnsi="Arial" w:cs="Arial"/>
          <w:sz w:val="20"/>
          <w:szCs w:val="20"/>
        </w:rPr>
      </w:pPr>
      <w:r>
        <w:rPr>
          <w:rFonts w:ascii="Arial" w:hAnsi="Arial" w:cs="Arial"/>
          <w:sz w:val="20"/>
          <w:szCs w:val="20"/>
        </w:rPr>
        <w:t>Static systems in process optimisation</w:t>
      </w:r>
    </w:p>
    <w:p w:rsidR="00BD1EC3" w:rsidRDefault="00BD1EC3" w:rsidP="00BD1EC3">
      <w:pPr>
        <w:numPr>
          <w:ilvl w:val="0"/>
          <w:numId w:val="2"/>
        </w:numPr>
        <w:autoSpaceDE w:val="0"/>
        <w:spacing w:after="0"/>
        <w:jc w:val="both"/>
        <w:rPr>
          <w:rFonts w:ascii="Arial" w:hAnsi="Arial" w:cs="Arial"/>
          <w:sz w:val="20"/>
          <w:szCs w:val="20"/>
        </w:rPr>
      </w:pPr>
      <w:r>
        <w:rPr>
          <w:rFonts w:ascii="Arial" w:hAnsi="Arial" w:cs="Arial"/>
          <w:sz w:val="20"/>
          <w:szCs w:val="20"/>
        </w:rPr>
        <w:t>Dynamic systems and time series analysis</w:t>
      </w:r>
    </w:p>
    <w:p w:rsidR="00BD1EC3" w:rsidRPr="00C31886" w:rsidRDefault="00BD1EC3" w:rsidP="00BD1EC3">
      <w:pPr>
        <w:numPr>
          <w:ilvl w:val="0"/>
          <w:numId w:val="2"/>
        </w:numPr>
        <w:autoSpaceDE w:val="0"/>
        <w:spacing w:after="0"/>
        <w:jc w:val="both"/>
        <w:rPr>
          <w:rFonts w:ascii="Arial" w:hAnsi="Arial" w:cs="Arial"/>
          <w:sz w:val="20"/>
          <w:szCs w:val="20"/>
        </w:rPr>
      </w:pPr>
      <w:r>
        <w:rPr>
          <w:rFonts w:ascii="Arial" w:hAnsi="Arial" w:cs="Arial"/>
          <w:sz w:val="20"/>
          <w:szCs w:val="20"/>
        </w:rPr>
        <w:t xml:space="preserve">Uncertainty in systems – probabilities and beyond </w:t>
      </w:r>
    </w:p>
    <w:p w:rsidR="00BD1EC3" w:rsidRDefault="00BD1EC3" w:rsidP="00BD1EC3">
      <w:pPr>
        <w:numPr>
          <w:ilvl w:val="0"/>
          <w:numId w:val="2"/>
        </w:numPr>
        <w:autoSpaceDE w:val="0"/>
        <w:spacing w:after="0"/>
        <w:jc w:val="both"/>
        <w:rPr>
          <w:rFonts w:ascii="Arial" w:hAnsi="Arial" w:cs="Arial"/>
          <w:sz w:val="20"/>
          <w:szCs w:val="20"/>
        </w:rPr>
      </w:pPr>
      <w:r>
        <w:rPr>
          <w:rFonts w:ascii="Arial" w:hAnsi="Arial" w:cs="Arial"/>
          <w:sz w:val="20"/>
          <w:szCs w:val="20"/>
        </w:rPr>
        <w:t xml:space="preserve">Complex systems analysis </w:t>
      </w:r>
    </w:p>
    <w:p w:rsidR="00BD1EC3" w:rsidRDefault="00BD1EC3" w:rsidP="00BD1EC3">
      <w:pPr>
        <w:numPr>
          <w:ilvl w:val="0"/>
          <w:numId w:val="2"/>
        </w:numPr>
        <w:autoSpaceDE w:val="0"/>
        <w:spacing w:after="0"/>
        <w:jc w:val="both"/>
        <w:rPr>
          <w:rFonts w:ascii="Arial" w:hAnsi="Arial" w:cs="Arial"/>
          <w:sz w:val="20"/>
          <w:szCs w:val="20"/>
        </w:rPr>
      </w:pPr>
      <w:r>
        <w:rPr>
          <w:rFonts w:ascii="Arial" w:hAnsi="Arial" w:cs="Arial"/>
          <w:sz w:val="20"/>
          <w:szCs w:val="20"/>
        </w:rPr>
        <w:t>Management of design as a systems process</w:t>
      </w:r>
    </w:p>
    <w:p w:rsidR="00BD1EC3" w:rsidRDefault="00BD1EC3" w:rsidP="00604D16">
      <w:pPr>
        <w:pStyle w:val="Heading2"/>
      </w:pPr>
    </w:p>
    <w:p w:rsidR="00604D16" w:rsidRPr="00C31886" w:rsidRDefault="00BD1EC3" w:rsidP="00604D16">
      <w:pPr>
        <w:pStyle w:val="Heading2"/>
      </w:pPr>
      <w:r>
        <w:t>3</w:t>
      </w:r>
      <w:r w:rsidR="00604D16">
        <w:t>.0</w:t>
      </w:r>
      <w:r w:rsidR="00604D16">
        <w:tab/>
      </w:r>
      <w:r w:rsidR="00604D16" w:rsidRPr="00C31886">
        <w:t>Intended learning outcomes</w:t>
      </w:r>
    </w:p>
    <w:p w:rsidR="00604D16" w:rsidRPr="00C31886" w:rsidRDefault="00604D16" w:rsidP="00604D16">
      <w:pPr>
        <w:pStyle w:val="BodyText1"/>
        <w:spacing w:line="276" w:lineRule="auto"/>
        <w:ind w:left="567" w:hanging="567"/>
        <w:rPr>
          <w:rFonts w:cs="Arial"/>
        </w:rPr>
      </w:pPr>
    </w:p>
    <w:p w:rsidR="00604D16" w:rsidRPr="00C31886" w:rsidRDefault="00604D16" w:rsidP="00604D16">
      <w:pPr>
        <w:numPr>
          <w:ilvl w:val="0"/>
          <w:numId w:val="3"/>
        </w:numPr>
        <w:spacing w:after="0"/>
        <w:jc w:val="both"/>
        <w:rPr>
          <w:rFonts w:ascii="Arial" w:hAnsi="Arial" w:cs="Arial"/>
          <w:sz w:val="20"/>
          <w:szCs w:val="20"/>
        </w:rPr>
      </w:pPr>
      <w:r>
        <w:rPr>
          <w:rFonts w:ascii="Arial" w:hAnsi="Arial" w:cs="Arial"/>
          <w:sz w:val="20"/>
          <w:szCs w:val="20"/>
        </w:rPr>
        <w:t>Skilled in the basic concepts of static and dynamic systems</w:t>
      </w:r>
    </w:p>
    <w:p w:rsidR="00604D16" w:rsidRDefault="00604D16" w:rsidP="00604D16">
      <w:pPr>
        <w:numPr>
          <w:ilvl w:val="0"/>
          <w:numId w:val="3"/>
        </w:numPr>
        <w:spacing w:after="0"/>
        <w:jc w:val="both"/>
        <w:rPr>
          <w:rFonts w:ascii="Arial" w:hAnsi="Arial" w:cs="Arial"/>
          <w:sz w:val="20"/>
          <w:szCs w:val="20"/>
        </w:rPr>
      </w:pPr>
      <w:r>
        <w:rPr>
          <w:rFonts w:ascii="Arial" w:hAnsi="Arial" w:cs="Arial"/>
          <w:sz w:val="20"/>
          <w:szCs w:val="20"/>
        </w:rPr>
        <w:t>Applying systems analysis to managerial and more general systems problems</w:t>
      </w:r>
    </w:p>
    <w:p w:rsidR="00604D16" w:rsidRPr="00C31886" w:rsidRDefault="009E0DD8" w:rsidP="00604D16">
      <w:pPr>
        <w:numPr>
          <w:ilvl w:val="0"/>
          <w:numId w:val="3"/>
        </w:numPr>
        <w:spacing w:after="0"/>
        <w:jc w:val="both"/>
        <w:rPr>
          <w:rFonts w:ascii="Arial" w:hAnsi="Arial" w:cs="Arial"/>
          <w:sz w:val="20"/>
          <w:szCs w:val="20"/>
        </w:rPr>
      </w:pPr>
      <w:r>
        <w:rPr>
          <w:rFonts w:ascii="Arial" w:hAnsi="Arial" w:cs="Arial"/>
          <w:sz w:val="20"/>
          <w:szCs w:val="20"/>
        </w:rPr>
        <w:t>A grasp of t</w:t>
      </w:r>
      <w:r w:rsidR="00604D16">
        <w:rPr>
          <w:rFonts w:ascii="Arial" w:hAnsi="Arial" w:cs="Arial"/>
          <w:sz w:val="20"/>
          <w:szCs w:val="20"/>
        </w:rPr>
        <w:t>he concept</w:t>
      </w:r>
      <w:r>
        <w:rPr>
          <w:rFonts w:ascii="Arial" w:hAnsi="Arial" w:cs="Arial"/>
          <w:sz w:val="20"/>
          <w:szCs w:val="20"/>
        </w:rPr>
        <w:t>s</w:t>
      </w:r>
      <w:r w:rsidR="00604D16">
        <w:rPr>
          <w:rFonts w:ascii="Arial" w:hAnsi="Arial" w:cs="Arial"/>
          <w:sz w:val="20"/>
          <w:szCs w:val="20"/>
        </w:rPr>
        <w:t xml:space="preserve"> of system state and modelling</w:t>
      </w:r>
      <w:r>
        <w:rPr>
          <w:rFonts w:ascii="Arial" w:hAnsi="Arial" w:cs="Arial"/>
          <w:sz w:val="20"/>
          <w:szCs w:val="20"/>
        </w:rPr>
        <w:t>,</w:t>
      </w:r>
      <w:r w:rsidR="00604D16">
        <w:rPr>
          <w:rFonts w:ascii="Arial" w:hAnsi="Arial" w:cs="Arial"/>
          <w:sz w:val="20"/>
          <w:szCs w:val="20"/>
        </w:rPr>
        <w:t xml:space="preserve"> and controlling systems dynamics</w:t>
      </w:r>
    </w:p>
    <w:p w:rsidR="00604D16" w:rsidRPr="00053447" w:rsidRDefault="00604D16" w:rsidP="00604D16">
      <w:pPr>
        <w:numPr>
          <w:ilvl w:val="0"/>
          <w:numId w:val="3"/>
        </w:numPr>
        <w:spacing w:after="0"/>
        <w:jc w:val="both"/>
        <w:rPr>
          <w:rFonts w:ascii="Arial" w:hAnsi="Arial" w:cs="Arial"/>
          <w:sz w:val="20"/>
          <w:szCs w:val="20"/>
        </w:rPr>
      </w:pPr>
      <w:r>
        <w:rPr>
          <w:rFonts w:ascii="Arial" w:hAnsi="Arial" w:cs="Arial"/>
          <w:sz w:val="20"/>
          <w:szCs w:val="20"/>
        </w:rPr>
        <w:t>Understanding complexity and complication as systems concepts</w:t>
      </w:r>
    </w:p>
    <w:p w:rsidR="00604D16" w:rsidRDefault="00604D16" w:rsidP="00BD1EC3">
      <w:pPr>
        <w:pStyle w:val="BodyText1"/>
        <w:spacing w:line="276" w:lineRule="auto"/>
        <w:rPr>
          <w:rFonts w:cs="Arial"/>
        </w:rPr>
      </w:pPr>
    </w:p>
    <w:p w:rsidR="00BD1EC3" w:rsidRDefault="00BD1EC3" w:rsidP="00BD1EC3">
      <w:pPr>
        <w:pStyle w:val="Heading2"/>
      </w:pPr>
      <w:r>
        <w:t>4.0</w:t>
      </w:r>
      <w:r>
        <w:tab/>
        <w:t>Assessment</w:t>
      </w:r>
    </w:p>
    <w:p w:rsidR="00BD1EC3" w:rsidRPr="00624131" w:rsidRDefault="00BD1EC3" w:rsidP="00BD1EC3">
      <w:pPr>
        <w:pStyle w:val="BodyText1"/>
      </w:pPr>
    </w:p>
    <w:p w:rsidR="00BD1EC3" w:rsidRDefault="00BD1EC3" w:rsidP="00BD1EC3">
      <w:pPr>
        <w:numPr>
          <w:ilvl w:val="0"/>
          <w:numId w:val="3"/>
        </w:numPr>
        <w:spacing w:after="0"/>
        <w:jc w:val="both"/>
      </w:pPr>
      <w:r w:rsidRPr="00B95502">
        <w:rPr>
          <w:rFonts w:ascii="Arial" w:hAnsi="Arial" w:cs="Arial"/>
          <w:sz w:val="20"/>
          <w:szCs w:val="20"/>
        </w:rPr>
        <w:t>Assessment of this module is in the form of progress tests usually given as in class group work and individual follow-up assignments.</w:t>
      </w:r>
    </w:p>
    <w:p w:rsidR="00BD1EC3" w:rsidRPr="00C31886" w:rsidRDefault="00BD1EC3" w:rsidP="00BD1EC3">
      <w:pPr>
        <w:pStyle w:val="BodyText1"/>
        <w:spacing w:line="276" w:lineRule="auto"/>
        <w:rPr>
          <w:rFonts w:cs="Arial"/>
        </w:rPr>
      </w:pPr>
    </w:p>
    <w:p w:rsidR="00604D16" w:rsidRDefault="00604D16" w:rsidP="00604D16">
      <w:pPr>
        <w:autoSpaceDE w:val="0"/>
        <w:spacing w:after="0"/>
        <w:jc w:val="both"/>
        <w:rPr>
          <w:rFonts w:ascii="Arial" w:hAnsi="Arial" w:cs="Arial"/>
          <w:sz w:val="20"/>
          <w:szCs w:val="20"/>
        </w:rPr>
      </w:pPr>
    </w:p>
    <w:p w:rsidR="00604D16" w:rsidRDefault="00604D16" w:rsidP="00604D16">
      <w:pPr>
        <w:autoSpaceDE w:val="0"/>
        <w:spacing w:after="0"/>
        <w:jc w:val="both"/>
        <w:rPr>
          <w:rFonts w:ascii="Arial" w:hAnsi="Arial" w:cs="Arial"/>
          <w:sz w:val="20"/>
          <w:szCs w:val="20"/>
        </w:rPr>
      </w:pPr>
    </w:p>
    <w:p w:rsidR="007A4EAB" w:rsidRDefault="007A4EAB" w:rsidP="00604D16">
      <w:pPr>
        <w:autoSpaceDE w:val="0"/>
        <w:spacing w:after="0"/>
        <w:jc w:val="both"/>
        <w:rPr>
          <w:rFonts w:ascii="Arial" w:hAnsi="Arial" w:cs="Arial"/>
          <w:sz w:val="20"/>
          <w:szCs w:val="20"/>
        </w:rPr>
      </w:pPr>
    </w:p>
    <w:p w:rsidR="007A4EAB" w:rsidRDefault="007A4EAB" w:rsidP="007A4EAB">
      <w:pPr>
        <w:pStyle w:val="Heading2"/>
      </w:pPr>
      <w:r>
        <w:lastRenderedPageBreak/>
        <w:t>5.0</w:t>
      </w:r>
      <w:r>
        <w:tab/>
      </w:r>
      <w:r w:rsidRPr="000A279F">
        <w:t xml:space="preserve">Recommended </w:t>
      </w:r>
      <w:r>
        <w:t>reading:</w:t>
      </w:r>
    </w:p>
    <w:p w:rsidR="007A4EAB" w:rsidRPr="007A4EAB" w:rsidRDefault="007A4EAB" w:rsidP="007A4EAB">
      <w:pPr>
        <w:pStyle w:val="BodyText1"/>
      </w:pPr>
    </w:p>
    <w:p w:rsidR="007A4EAB" w:rsidRPr="003B544A" w:rsidRDefault="007A4EAB" w:rsidP="007A4EAB">
      <w:pPr>
        <w:pStyle w:val="BodyText1"/>
        <w:tabs>
          <w:tab w:val="num" w:pos="0"/>
        </w:tabs>
        <w:spacing w:line="276" w:lineRule="auto"/>
        <w:rPr>
          <w:rFonts w:asciiTheme="minorHAnsi" w:hAnsiTheme="minorHAnsi" w:cstheme="minorHAnsi"/>
        </w:rPr>
      </w:pPr>
      <w:bookmarkStart w:id="0" w:name="_GoBack"/>
      <w:bookmarkEnd w:id="0"/>
      <w:r w:rsidRPr="003B544A">
        <w:rPr>
          <w:rFonts w:asciiTheme="minorHAnsi" w:hAnsiTheme="minorHAnsi" w:cstheme="minorHAnsi"/>
        </w:rPr>
        <w:t>C = Core, S = Supplementary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8326"/>
      </w:tblGrid>
      <w:tr w:rsidR="007A4EAB" w:rsidRPr="003B544A" w:rsidTr="00534041">
        <w:tc>
          <w:tcPr>
            <w:tcW w:w="808" w:type="dxa"/>
          </w:tcPr>
          <w:p w:rsidR="007A4EAB" w:rsidRPr="003B544A" w:rsidRDefault="007A4EAB" w:rsidP="00534041">
            <w:pPr>
              <w:pStyle w:val="BodyText1"/>
              <w:tabs>
                <w:tab w:val="num" w:pos="0"/>
              </w:tabs>
              <w:spacing w:line="276" w:lineRule="auto"/>
              <w:rPr>
                <w:rFonts w:asciiTheme="minorHAnsi" w:hAnsiTheme="minorHAnsi" w:cstheme="minorHAnsi"/>
              </w:rPr>
            </w:pPr>
            <w:r>
              <w:rPr>
                <w:rFonts w:asciiTheme="minorHAnsi" w:hAnsiTheme="minorHAnsi" w:cstheme="minorHAnsi"/>
              </w:rPr>
              <w:t>C</w:t>
            </w:r>
          </w:p>
        </w:tc>
        <w:tc>
          <w:tcPr>
            <w:tcW w:w="8326" w:type="dxa"/>
          </w:tcPr>
          <w:p w:rsidR="007A4EAB" w:rsidRDefault="007A4EAB" w:rsidP="007A4EAB">
            <w:pPr>
              <w:autoSpaceDE w:val="0"/>
              <w:spacing w:after="0"/>
              <w:jc w:val="both"/>
              <w:rPr>
                <w:rFonts w:ascii="Arial" w:hAnsi="Arial" w:cs="Arial"/>
                <w:color w:val="000000" w:themeColor="text1"/>
                <w:spacing w:val="-3"/>
                <w:sz w:val="20"/>
                <w:szCs w:val="20"/>
              </w:rPr>
            </w:pPr>
            <w:r w:rsidRPr="00556C9B">
              <w:rPr>
                <w:rFonts w:ascii="Arial" w:hAnsi="Arial" w:cs="Arial"/>
                <w:color w:val="000000" w:themeColor="text1"/>
                <w:spacing w:val="-3"/>
                <w:sz w:val="20"/>
                <w:szCs w:val="20"/>
              </w:rPr>
              <w:t>NASA</w:t>
            </w:r>
            <w:r>
              <w:rPr>
                <w:rFonts w:ascii="Arial" w:hAnsi="Arial" w:cs="Arial"/>
                <w:color w:val="000000" w:themeColor="text1"/>
                <w:spacing w:val="-3"/>
                <w:sz w:val="20"/>
                <w:szCs w:val="20"/>
              </w:rPr>
              <w:t>.</w:t>
            </w:r>
            <w:r w:rsidRPr="00556C9B">
              <w:rPr>
                <w:rFonts w:ascii="Arial" w:hAnsi="Arial" w:cs="Arial"/>
                <w:color w:val="000000" w:themeColor="text1"/>
                <w:spacing w:val="-3"/>
                <w:sz w:val="20"/>
                <w:szCs w:val="20"/>
              </w:rPr>
              <w:t xml:space="preserve"> (2007) </w:t>
            </w:r>
            <w:r w:rsidRPr="00556C9B">
              <w:rPr>
                <w:rFonts w:ascii="Arial" w:hAnsi="Arial" w:cs="Arial"/>
                <w:i/>
                <w:color w:val="000000" w:themeColor="text1"/>
                <w:spacing w:val="-3"/>
                <w:sz w:val="20"/>
                <w:szCs w:val="20"/>
              </w:rPr>
              <w:t>Systems Engineering Handbook</w:t>
            </w:r>
            <w:proofErr w:type="gramStart"/>
            <w:r w:rsidRPr="00556C9B">
              <w:rPr>
                <w:rFonts w:ascii="Arial" w:hAnsi="Arial" w:cs="Arial"/>
                <w:color w:val="000000" w:themeColor="text1"/>
                <w:spacing w:val="-3"/>
                <w:sz w:val="20"/>
                <w:szCs w:val="20"/>
              </w:rPr>
              <w:t>,  (</w:t>
            </w:r>
            <w:proofErr w:type="gramEnd"/>
            <w:r w:rsidRPr="00556C9B">
              <w:rPr>
                <w:rFonts w:ascii="Arial" w:hAnsi="Arial" w:cs="Arial"/>
                <w:color w:val="000000" w:themeColor="text1"/>
                <w:spacing w:val="-3"/>
                <w:sz w:val="20"/>
                <w:szCs w:val="20"/>
              </w:rPr>
              <w:t xml:space="preserve">NASA/SP-2007-6105 Rev 1), </w:t>
            </w:r>
            <w:r>
              <w:rPr>
                <w:rFonts w:ascii="Arial" w:hAnsi="Arial" w:cs="Arial"/>
                <w:color w:val="000000" w:themeColor="text1"/>
                <w:spacing w:val="-3"/>
                <w:sz w:val="20"/>
                <w:szCs w:val="20"/>
              </w:rPr>
              <w:t xml:space="preserve"> Chapters 1 &amp; 2.  </w:t>
            </w:r>
          </w:p>
          <w:p w:rsidR="007A4EAB" w:rsidRPr="007E45DD" w:rsidRDefault="007A4EAB" w:rsidP="007A4EAB">
            <w:pPr>
              <w:autoSpaceDE w:val="0"/>
              <w:spacing w:after="0"/>
              <w:jc w:val="both"/>
              <w:rPr>
                <w:rFonts w:ascii="Arial" w:hAnsi="Arial" w:cs="Arial"/>
                <w:color w:val="222222"/>
                <w:sz w:val="20"/>
                <w:szCs w:val="20"/>
              </w:rPr>
            </w:pPr>
            <w:r>
              <w:rPr>
                <w:rFonts w:ascii="Arial" w:hAnsi="Arial" w:cs="Arial"/>
                <w:color w:val="000000" w:themeColor="text1"/>
                <w:spacing w:val="-3"/>
                <w:sz w:val="20"/>
                <w:szCs w:val="20"/>
              </w:rPr>
              <w:t xml:space="preserve">[Online] </w:t>
            </w:r>
            <w:r w:rsidRPr="00556C9B">
              <w:rPr>
                <w:rFonts w:ascii="Arial" w:hAnsi="Arial" w:cs="Arial"/>
                <w:color w:val="000000" w:themeColor="text1"/>
                <w:spacing w:val="-3"/>
                <w:sz w:val="20"/>
                <w:szCs w:val="20"/>
              </w:rPr>
              <w:t xml:space="preserve">Available from: </w:t>
            </w:r>
            <w:hyperlink r:id="rId12" w:history="1">
              <w:r w:rsidRPr="00556C9B">
                <w:rPr>
                  <w:rStyle w:val="Hyperlink"/>
                  <w:rFonts w:ascii="Arial" w:hAnsi="Arial" w:cs="Arial"/>
                  <w:spacing w:val="-3"/>
                  <w:sz w:val="20"/>
                  <w:szCs w:val="20"/>
                </w:rPr>
                <w:t>http://ntrs.nasa.gov/archive/nasa/casi.ntrs.nasa.gov/20080008301_2008008500.pdf</w:t>
              </w:r>
            </w:hyperlink>
            <w:r w:rsidRPr="00556C9B">
              <w:rPr>
                <w:rFonts w:ascii="Arial" w:hAnsi="Arial" w:cs="Arial"/>
                <w:color w:val="000000" w:themeColor="text1"/>
                <w:spacing w:val="-3"/>
                <w:sz w:val="20"/>
                <w:szCs w:val="20"/>
              </w:rPr>
              <w:t xml:space="preserve"> </w:t>
            </w:r>
            <w:r>
              <w:rPr>
                <w:rFonts w:ascii="Arial" w:hAnsi="Arial" w:cs="Arial"/>
                <w:color w:val="000000" w:themeColor="text1"/>
                <w:spacing w:val="-3"/>
                <w:sz w:val="20"/>
                <w:szCs w:val="20"/>
              </w:rPr>
              <w:t>[Accessed 08 March 2013].</w:t>
            </w:r>
          </w:p>
        </w:tc>
      </w:tr>
      <w:tr w:rsidR="007A4EAB" w:rsidRPr="003B544A" w:rsidTr="00534041">
        <w:tc>
          <w:tcPr>
            <w:tcW w:w="808" w:type="dxa"/>
          </w:tcPr>
          <w:p w:rsidR="007A4EAB" w:rsidRDefault="007A4EAB" w:rsidP="00534041">
            <w:pPr>
              <w:pStyle w:val="BodyText1"/>
              <w:tabs>
                <w:tab w:val="num" w:pos="0"/>
              </w:tabs>
              <w:spacing w:line="276" w:lineRule="auto"/>
              <w:rPr>
                <w:rFonts w:asciiTheme="minorHAnsi" w:hAnsiTheme="minorHAnsi" w:cstheme="minorHAnsi"/>
              </w:rPr>
            </w:pPr>
            <w:r>
              <w:rPr>
                <w:rFonts w:asciiTheme="minorHAnsi" w:hAnsiTheme="minorHAnsi" w:cstheme="minorHAnsi"/>
              </w:rPr>
              <w:t>C</w:t>
            </w:r>
          </w:p>
        </w:tc>
        <w:tc>
          <w:tcPr>
            <w:tcW w:w="8326" w:type="dxa"/>
          </w:tcPr>
          <w:p w:rsidR="007A4EAB" w:rsidRPr="007A4EAB" w:rsidRDefault="007A4EAB" w:rsidP="007A4EAB">
            <w:pPr>
              <w:jc w:val="both"/>
            </w:pPr>
            <w:proofErr w:type="spellStart"/>
            <w:r>
              <w:t>RAEng</w:t>
            </w:r>
            <w:proofErr w:type="spellEnd"/>
            <w:r>
              <w:t xml:space="preserve">. (2007) </w:t>
            </w:r>
            <w:r>
              <w:rPr>
                <w:i/>
              </w:rPr>
              <w:t>Creating systems that work: Principles of engineering systems for the 21</w:t>
            </w:r>
            <w:r w:rsidRPr="00DB744F">
              <w:rPr>
                <w:i/>
                <w:vertAlign w:val="superscript"/>
              </w:rPr>
              <w:t>st</w:t>
            </w:r>
            <w:r>
              <w:rPr>
                <w:i/>
              </w:rPr>
              <w:t xml:space="preserve"> century, </w:t>
            </w:r>
            <w:r w:rsidRPr="00DB744F">
              <w:t xml:space="preserve">[Online] </w:t>
            </w:r>
            <w:r>
              <w:t xml:space="preserve">Available from: </w:t>
            </w:r>
            <w:hyperlink r:id="rId13" w:history="1">
              <w:r w:rsidRPr="00FF4903">
                <w:rPr>
                  <w:rStyle w:val="Hyperlink"/>
                </w:rPr>
                <w:t>http://www.raeng.org.uk/education/vps/pdf/rae_systems_report.pdf</w:t>
              </w:r>
            </w:hyperlink>
            <w:r>
              <w:t xml:space="preserve"> [Accessed 23 March 2008]</w:t>
            </w:r>
          </w:p>
        </w:tc>
      </w:tr>
    </w:tbl>
    <w:p w:rsidR="00604D16" w:rsidRDefault="00604D16" w:rsidP="00604D16">
      <w:pPr>
        <w:autoSpaceDE w:val="0"/>
        <w:spacing w:after="0"/>
        <w:jc w:val="both"/>
        <w:rPr>
          <w:rFonts w:ascii="Arial" w:hAnsi="Arial" w:cs="Arial"/>
          <w:b/>
          <w:i/>
          <w:sz w:val="20"/>
          <w:szCs w:val="20"/>
        </w:rPr>
      </w:pPr>
    </w:p>
    <w:p w:rsidR="007A4EAB" w:rsidRDefault="007A4EAB" w:rsidP="00604D16">
      <w:pPr>
        <w:autoSpaceDE w:val="0"/>
        <w:spacing w:after="0"/>
        <w:jc w:val="both"/>
        <w:rPr>
          <w:rFonts w:ascii="Arial" w:hAnsi="Arial" w:cs="Arial"/>
          <w:b/>
          <w:i/>
          <w:sz w:val="20"/>
          <w:szCs w:val="20"/>
        </w:rPr>
      </w:pPr>
    </w:p>
    <w:p w:rsidR="00DB744F" w:rsidRDefault="007A4EAB" w:rsidP="007A4EAB">
      <w:pPr>
        <w:autoSpaceDE w:val="0"/>
        <w:spacing w:after="0"/>
        <w:jc w:val="both"/>
      </w:pPr>
      <w:r>
        <w:rPr>
          <w:rFonts w:ascii="Arial" w:hAnsi="Arial" w:cs="Arial"/>
          <w:b/>
          <w:sz w:val="20"/>
          <w:szCs w:val="20"/>
        </w:rPr>
        <w:t>Students are also advised to register for the following programme:</w:t>
      </w:r>
    </w:p>
    <w:p w:rsidR="00DB744F" w:rsidRDefault="00DB744F" w:rsidP="00DB744F">
      <w:pPr>
        <w:jc w:val="both"/>
      </w:pPr>
      <w:proofErr w:type="gramStart"/>
      <w:r>
        <w:t>Imperial College London.</w:t>
      </w:r>
      <w:proofErr w:type="gramEnd"/>
      <w:r>
        <w:t xml:space="preserve"> </w:t>
      </w:r>
      <w:proofErr w:type="gramStart"/>
      <w:r>
        <w:t xml:space="preserve">(2013) </w:t>
      </w:r>
      <w:r w:rsidRPr="00DB744F">
        <w:rPr>
          <w:i/>
        </w:rPr>
        <w:t>Maths &amp; Stats Online Cat</w:t>
      </w:r>
      <w:r>
        <w:rPr>
          <w:i/>
        </w:rPr>
        <w:t>c</w:t>
      </w:r>
      <w:r w:rsidRPr="00DB744F">
        <w:rPr>
          <w:i/>
        </w:rPr>
        <w:t>h-Up</w:t>
      </w:r>
      <w:r>
        <w:rPr>
          <w:i/>
        </w:rPr>
        <w:t>.</w:t>
      </w:r>
      <w:proofErr w:type="gramEnd"/>
      <w:r>
        <w:rPr>
          <w:i/>
        </w:rPr>
        <w:t xml:space="preserve"> </w:t>
      </w:r>
      <w:r>
        <w:t xml:space="preserve">[Online] Available from: </w:t>
      </w:r>
      <w:hyperlink r:id="rId14" w:history="1">
        <w:r w:rsidRPr="00FF4903">
          <w:rPr>
            <w:rStyle w:val="Hyperlink"/>
          </w:rPr>
          <w:t>http://www3.imperial.ac.uk/graduateschool/currentstudents/mathsandstatscatchup</w:t>
        </w:r>
      </w:hyperlink>
      <w:r>
        <w:t xml:space="preserve"> [Accessed 23 August 2013]</w:t>
      </w:r>
    </w:p>
    <w:p w:rsidR="007A4EAB" w:rsidRPr="007A4EAB" w:rsidRDefault="007A4EAB" w:rsidP="007A4EAB">
      <w:pPr>
        <w:spacing w:before="100" w:beforeAutospacing="1" w:after="100" w:afterAutospacing="1" w:line="240" w:lineRule="auto"/>
        <w:rPr>
          <w:rFonts w:asciiTheme="minorHAnsi" w:hAnsiTheme="minorHAnsi" w:cstheme="minorHAnsi"/>
        </w:rPr>
      </w:pPr>
      <w:r w:rsidRPr="007A4EAB">
        <w:rPr>
          <w:rFonts w:asciiTheme="minorHAnsi" w:hAnsiTheme="minorHAnsi" w:cstheme="minorHAnsi"/>
          <w:i/>
          <w:sz w:val="24"/>
          <w:szCs w:val="24"/>
          <w:lang w:eastAsia="en-GB"/>
        </w:rPr>
        <w:t>This is the baseline competence in mathematics for the course. Once you are enrolled use this link if you think your maths might need freshening</w:t>
      </w:r>
    </w:p>
    <w:p w:rsidR="007A4EAB" w:rsidRPr="00DB744F" w:rsidRDefault="007A4EAB" w:rsidP="00DB744F">
      <w:pPr>
        <w:jc w:val="both"/>
      </w:pPr>
    </w:p>
    <w:sectPr w:rsidR="007A4EAB" w:rsidRPr="00DB744F">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6D" w:rsidRDefault="0082316D" w:rsidP="008E3D6B">
      <w:pPr>
        <w:spacing w:after="0" w:line="240" w:lineRule="auto"/>
      </w:pPr>
      <w:r>
        <w:separator/>
      </w:r>
    </w:p>
  </w:endnote>
  <w:endnote w:type="continuationSeparator" w:id="0">
    <w:p w:rsidR="0082316D" w:rsidRDefault="0082316D" w:rsidP="008E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32" w:rsidRPr="00D42F81" w:rsidRDefault="00102A32" w:rsidP="00102A32">
    <w:pPr>
      <w:pStyle w:val="Footer"/>
      <w:shd w:val="clear" w:color="auto" w:fill="548DD4"/>
      <w:tabs>
        <w:tab w:val="clear" w:pos="4513"/>
        <w:tab w:val="clear" w:pos="9026"/>
        <w:tab w:val="left" w:pos="2670"/>
      </w:tabs>
      <w:rPr>
        <w:color w:val="FFFFFF"/>
      </w:rPr>
    </w:pPr>
    <w:r w:rsidRPr="00E93615">
      <w:rPr>
        <w:color w:val="FFFFFF"/>
      </w:rPr>
      <w:t xml:space="preserve">Revised: </w:t>
    </w:r>
    <w:r w:rsidR="007A4EAB">
      <w:rPr>
        <w:color w:val="FFFFFF"/>
      </w:rPr>
      <w:t>29-09-14</w:t>
    </w:r>
    <w:r>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6D" w:rsidRDefault="0082316D" w:rsidP="008E3D6B">
      <w:pPr>
        <w:spacing w:after="0" w:line="240" w:lineRule="auto"/>
      </w:pPr>
      <w:r>
        <w:separator/>
      </w:r>
    </w:p>
  </w:footnote>
  <w:footnote w:type="continuationSeparator" w:id="0">
    <w:p w:rsidR="0082316D" w:rsidRDefault="0082316D" w:rsidP="008E3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A32" w:rsidRDefault="00102A32" w:rsidP="00102A32">
    <w:r>
      <w:rPr>
        <w:noProof/>
        <w:lang w:eastAsia="en-GB"/>
      </w:rPr>
      <w:drawing>
        <wp:inline distT="0" distB="0" distL="0" distR="0" wp14:anchorId="641BF9EC" wp14:editId="204FCC6C">
          <wp:extent cx="1600200" cy="419100"/>
          <wp:effectExtent l="19050" t="0" r="0" b="0"/>
          <wp:docPr id="1" name="Picture 1" descr="logo_imperial_college_lond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mperial_college_london.png"/>
                  <pic:cNvPicPr>
                    <a:picLocks noChangeAspect="1" noChangeArrowheads="1"/>
                  </pic:cNvPicPr>
                </pic:nvPicPr>
                <pic:blipFill>
                  <a:blip r:embed="rId1"/>
                  <a:srcRect/>
                  <a:stretch>
                    <a:fillRect/>
                  </a:stretch>
                </pic:blipFill>
                <pic:spPr bwMode="auto">
                  <a:xfrm>
                    <a:off x="0" y="0"/>
                    <a:ext cx="1600200" cy="419100"/>
                  </a:xfrm>
                  <a:prstGeom prst="rect">
                    <a:avLst/>
                  </a:prstGeom>
                  <a:noFill/>
                  <a:ln w="9525">
                    <a:noFill/>
                    <a:miter lim="800000"/>
                    <a:headEnd/>
                    <a:tailEnd/>
                  </a:ln>
                </pic:spPr>
              </pic:pic>
            </a:graphicData>
          </a:graphic>
        </wp:inline>
      </w:drawing>
    </w:r>
  </w:p>
  <w:p w:rsidR="00102A32" w:rsidRPr="00BA5754" w:rsidRDefault="00102A32" w:rsidP="00102A32">
    <w:pPr>
      <w:shd w:val="clear" w:color="auto" w:fill="17365D"/>
      <w:spacing w:after="0" w:line="240" w:lineRule="auto"/>
      <w:rPr>
        <w:color w:val="FFFFFF"/>
        <w:sz w:val="32"/>
      </w:rPr>
    </w:pPr>
    <w:r w:rsidRPr="00BA5754">
      <w:rPr>
        <w:color w:val="FFFFFF"/>
        <w:sz w:val="32"/>
      </w:rPr>
      <w:t xml:space="preserve">Department of </w:t>
    </w:r>
    <w:r>
      <w:rPr>
        <w:color w:val="FFFFFF"/>
        <w:sz w:val="32"/>
      </w:rPr>
      <w:t>Civil and Environmental Engineering</w:t>
    </w:r>
  </w:p>
  <w:p w:rsidR="00102A32" w:rsidRDefault="00102A32" w:rsidP="00102A32">
    <w:pPr>
      <w:shd w:val="clear" w:color="auto" w:fill="17365D"/>
      <w:spacing w:after="0" w:line="240" w:lineRule="auto"/>
      <w:rPr>
        <w:color w:val="FFFFFF"/>
        <w:sz w:val="32"/>
      </w:rPr>
    </w:pPr>
    <w:r>
      <w:rPr>
        <w:color w:val="FFFFFF"/>
        <w:sz w:val="32"/>
      </w:rPr>
      <w:t>Module descriptor 2014-15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16"/>
    <w:rsid w:val="00102A32"/>
    <w:rsid w:val="00604D16"/>
    <w:rsid w:val="00720097"/>
    <w:rsid w:val="007A4EAB"/>
    <w:rsid w:val="0082316D"/>
    <w:rsid w:val="008E3D6B"/>
    <w:rsid w:val="00970142"/>
    <w:rsid w:val="009E0DD8"/>
    <w:rsid w:val="00B27A28"/>
    <w:rsid w:val="00BD1EC3"/>
    <w:rsid w:val="00DB7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6"/>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604D16"/>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qFormat/>
    <w:rsid w:val="00604D16"/>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qFormat/>
    <w:rsid w:val="00604D16"/>
    <w:pPr>
      <w:numPr>
        <w:ilvl w:val="2"/>
      </w:numPr>
      <w:outlineLvl w:val="2"/>
    </w:pPr>
    <w:rPr>
      <w:sz w:val="20"/>
    </w:rPr>
  </w:style>
  <w:style w:type="paragraph" w:styleId="Heading4">
    <w:name w:val="heading 4"/>
    <w:basedOn w:val="Normal"/>
    <w:next w:val="Normal"/>
    <w:link w:val="Heading4Char"/>
    <w:qFormat/>
    <w:rsid w:val="00604D16"/>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D16"/>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604D16"/>
    <w:rPr>
      <w:rFonts w:ascii="Arial" w:eastAsia="Times New Roman" w:hAnsi="Arial" w:cs="Calibri"/>
      <w:b/>
      <w:sz w:val="24"/>
      <w:szCs w:val="20"/>
      <w:lang w:eastAsia="ar-SA"/>
    </w:rPr>
  </w:style>
  <w:style w:type="character" w:customStyle="1" w:styleId="Heading3Char">
    <w:name w:val="Heading 3 Char"/>
    <w:basedOn w:val="DefaultParagraphFont"/>
    <w:link w:val="Heading3"/>
    <w:rsid w:val="00604D16"/>
    <w:rPr>
      <w:rFonts w:ascii="Arial" w:eastAsia="Times New Roman" w:hAnsi="Arial" w:cs="Calibri"/>
      <w:b/>
      <w:sz w:val="20"/>
      <w:szCs w:val="20"/>
      <w:lang w:eastAsia="ar-SA"/>
    </w:rPr>
  </w:style>
  <w:style w:type="character" w:customStyle="1" w:styleId="Heading4Char">
    <w:name w:val="Heading 4 Char"/>
    <w:basedOn w:val="DefaultParagraphFont"/>
    <w:link w:val="Heading4"/>
    <w:rsid w:val="00604D16"/>
    <w:rPr>
      <w:rFonts w:ascii="Cambria" w:eastAsia="Times New Roman" w:hAnsi="Cambria" w:cs="Calibri"/>
      <w:b/>
      <w:bCs/>
      <w:i/>
      <w:iCs/>
      <w:color w:val="4F81BD"/>
      <w:lang w:eastAsia="ar-SA"/>
    </w:rPr>
  </w:style>
  <w:style w:type="paragraph" w:customStyle="1" w:styleId="BodyText1">
    <w:name w:val="Body Text1"/>
    <w:basedOn w:val="Normal"/>
    <w:rsid w:val="00604D16"/>
    <w:pPr>
      <w:spacing w:after="0" w:line="240" w:lineRule="auto"/>
      <w:jc w:val="both"/>
    </w:pPr>
    <w:rPr>
      <w:rFonts w:ascii="Arial" w:hAnsi="Arial"/>
      <w:sz w:val="20"/>
      <w:szCs w:val="20"/>
    </w:rPr>
  </w:style>
  <w:style w:type="paragraph" w:customStyle="1" w:styleId="itemise">
    <w:name w:val="itemise"/>
    <w:basedOn w:val="Normal"/>
    <w:rsid w:val="00604D16"/>
    <w:pPr>
      <w:spacing w:after="0" w:line="240" w:lineRule="auto"/>
      <w:ind w:left="567" w:hanging="567"/>
      <w:jc w:val="both"/>
    </w:pPr>
    <w:rPr>
      <w:rFonts w:ascii="Arial" w:hAnsi="Arial"/>
      <w:sz w:val="20"/>
      <w:szCs w:val="20"/>
    </w:rPr>
  </w:style>
  <w:style w:type="character" w:styleId="Hyperlink">
    <w:name w:val="Hyperlink"/>
    <w:basedOn w:val="DefaultParagraphFont"/>
    <w:rsid w:val="00604D16"/>
    <w:rPr>
      <w:color w:val="0000FF" w:themeColor="hyperlink"/>
      <w:u w:val="single"/>
    </w:rPr>
  </w:style>
  <w:style w:type="paragraph" w:styleId="ListParagraph">
    <w:name w:val="List Paragraph"/>
    <w:basedOn w:val="Normal"/>
    <w:uiPriority w:val="34"/>
    <w:qFormat/>
    <w:rsid w:val="008E3D6B"/>
    <w:pPr>
      <w:ind w:left="720"/>
      <w:contextualSpacing/>
    </w:pPr>
  </w:style>
  <w:style w:type="paragraph" w:styleId="Header">
    <w:name w:val="header"/>
    <w:basedOn w:val="Normal"/>
    <w:link w:val="HeaderChar"/>
    <w:uiPriority w:val="99"/>
    <w:unhideWhenUsed/>
    <w:rsid w:val="008E3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D6B"/>
    <w:rPr>
      <w:rFonts w:ascii="Calibri" w:eastAsia="Times New Roman" w:hAnsi="Calibri" w:cs="Calibri"/>
      <w:lang w:eastAsia="ar-SA"/>
    </w:rPr>
  </w:style>
  <w:style w:type="paragraph" w:styleId="Footer">
    <w:name w:val="footer"/>
    <w:basedOn w:val="Normal"/>
    <w:link w:val="FooterChar"/>
    <w:uiPriority w:val="99"/>
    <w:unhideWhenUsed/>
    <w:rsid w:val="008E3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D6B"/>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8E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6B"/>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D16"/>
    <w:pPr>
      <w:suppressAutoHyphens/>
    </w:pPr>
    <w:rPr>
      <w:rFonts w:ascii="Calibri" w:eastAsia="Times New Roman" w:hAnsi="Calibri" w:cs="Calibri"/>
      <w:lang w:eastAsia="ar-SA"/>
    </w:rPr>
  </w:style>
  <w:style w:type="paragraph" w:styleId="Heading1">
    <w:name w:val="heading 1"/>
    <w:basedOn w:val="Normal"/>
    <w:next w:val="BodyText1"/>
    <w:link w:val="Heading1Char"/>
    <w:qFormat/>
    <w:rsid w:val="00604D16"/>
    <w:pPr>
      <w:numPr>
        <w:numId w:val="1"/>
      </w:numPr>
      <w:spacing w:before="240" w:after="120" w:line="240" w:lineRule="auto"/>
      <w:outlineLvl w:val="0"/>
    </w:pPr>
    <w:rPr>
      <w:rFonts w:ascii="Arial" w:hAnsi="Arial"/>
      <w:b/>
      <w:sz w:val="28"/>
      <w:szCs w:val="20"/>
    </w:rPr>
  </w:style>
  <w:style w:type="paragraph" w:styleId="Heading2">
    <w:name w:val="heading 2"/>
    <w:basedOn w:val="Normal"/>
    <w:next w:val="BodyText1"/>
    <w:link w:val="Heading2Char"/>
    <w:qFormat/>
    <w:rsid w:val="00604D16"/>
    <w:pPr>
      <w:numPr>
        <w:ilvl w:val="1"/>
        <w:numId w:val="1"/>
      </w:numPr>
      <w:spacing w:before="120" w:after="0" w:line="240" w:lineRule="auto"/>
      <w:outlineLvl w:val="1"/>
    </w:pPr>
    <w:rPr>
      <w:rFonts w:ascii="Arial" w:hAnsi="Arial"/>
      <w:b/>
      <w:sz w:val="24"/>
      <w:szCs w:val="20"/>
    </w:rPr>
  </w:style>
  <w:style w:type="paragraph" w:styleId="Heading3">
    <w:name w:val="heading 3"/>
    <w:basedOn w:val="Heading2"/>
    <w:next w:val="BodyText1"/>
    <w:link w:val="Heading3Char"/>
    <w:qFormat/>
    <w:rsid w:val="00604D16"/>
    <w:pPr>
      <w:numPr>
        <w:ilvl w:val="2"/>
      </w:numPr>
      <w:outlineLvl w:val="2"/>
    </w:pPr>
    <w:rPr>
      <w:sz w:val="20"/>
    </w:rPr>
  </w:style>
  <w:style w:type="paragraph" w:styleId="Heading4">
    <w:name w:val="heading 4"/>
    <w:basedOn w:val="Normal"/>
    <w:next w:val="Normal"/>
    <w:link w:val="Heading4Char"/>
    <w:qFormat/>
    <w:rsid w:val="00604D16"/>
    <w:pPr>
      <w:keepNext/>
      <w:keepLines/>
      <w:numPr>
        <w:ilvl w:val="3"/>
        <w:numId w:val="1"/>
      </w:numPr>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D16"/>
    <w:rPr>
      <w:rFonts w:ascii="Arial" w:eastAsia="Times New Roman" w:hAnsi="Arial" w:cs="Calibri"/>
      <w:b/>
      <w:sz w:val="28"/>
      <w:szCs w:val="20"/>
      <w:lang w:eastAsia="ar-SA"/>
    </w:rPr>
  </w:style>
  <w:style w:type="character" w:customStyle="1" w:styleId="Heading2Char">
    <w:name w:val="Heading 2 Char"/>
    <w:basedOn w:val="DefaultParagraphFont"/>
    <w:link w:val="Heading2"/>
    <w:rsid w:val="00604D16"/>
    <w:rPr>
      <w:rFonts w:ascii="Arial" w:eastAsia="Times New Roman" w:hAnsi="Arial" w:cs="Calibri"/>
      <w:b/>
      <w:sz w:val="24"/>
      <w:szCs w:val="20"/>
      <w:lang w:eastAsia="ar-SA"/>
    </w:rPr>
  </w:style>
  <w:style w:type="character" w:customStyle="1" w:styleId="Heading3Char">
    <w:name w:val="Heading 3 Char"/>
    <w:basedOn w:val="DefaultParagraphFont"/>
    <w:link w:val="Heading3"/>
    <w:rsid w:val="00604D16"/>
    <w:rPr>
      <w:rFonts w:ascii="Arial" w:eastAsia="Times New Roman" w:hAnsi="Arial" w:cs="Calibri"/>
      <w:b/>
      <w:sz w:val="20"/>
      <w:szCs w:val="20"/>
      <w:lang w:eastAsia="ar-SA"/>
    </w:rPr>
  </w:style>
  <w:style w:type="character" w:customStyle="1" w:styleId="Heading4Char">
    <w:name w:val="Heading 4 Char"/>
    <w:basedOn w:val="DefaultParagraphFont"/>
    <w:link w:val="Heading4"/>
    <w:rsid w:val="00604D16"/>
    <w:rPr>
      <w:rFonts w:ascii="Cambria" w:eastAsia="Times New Roman" w:hAnsi="Cambria" w:cs="Calibri"/>
      <w:b/>
      <w:bCs/>
      <w:i/>
      <w:iCs/>
      <w:color w:val="4F81BD"/>
      <w:lang w:eastAsia="ar-SA"/>
    </w:rPr>
  </w:style>
  <w:style w:type="paragraph" w:customStyle="1" w:styleId="BodyText1">
    <w:name w:val="Body Text1"/>
    <w:basedOn w:val="Normal"/>
    <w:rsid w:val="00604D16"/>
    <w:pPr>
      <w:spacing w:after="0" w:line="240" w:lineRule="auto"/>
      <w:jc w:val="both"/>
    </w:pPr>
    <w:rPr>
      <w:rFonts w:ascii="Arial" w:hAnsi="Arial"/>
      <w:sz w:val="20"/>
      <w:szCs w:val="20"/>
    </w:rPr>
  </w:style>
  <w:style w:type="paragraph" w:customStyle="1" w:styleId="itemise">
    <w:name w:val="itemise"/>
    <w:basedOn w:val="Normal"/>
    <w:rsid w:val="00604D16"/>
    <w:pPr>
      <w:spacing w:after="0" w:line="240" w:lineRule="auto"/>
      <w:ind w:left="567" w:hanging="567"/>
      <w:jc w:val="both"/>
    </w:pPr>
    <w:rPr>
      <w:rFonts w:ascii="Arial" w:hAnsi="Arial"/>
      <w:sz w:val="20"/>
      <w:szCs w:val="20"/>
    </w:rPr>
  </w:style>
  <w:style w:type="character" w:styleId="Hyperlink">
    <w:name w:val="Hyperlink"/>
    <w:basedOn w:val="DefaultParagraphFont"/>
    <w:rsid w:val="00604D16"/>
    <w:rPr>
      <w:color w:val="0000FF" w:themeColor="hyperlink"/>
      <w:u w:val="single"/>
    </w:rPr>
  </w:style>
  <w:style w:type="paragraph" w:styleId="ListParagraph">
    <w:name w:val="List Paragraph"/>
    <w:basedOn w:val="Normal"/>
    <w:uiPriority w:val="34"/>
    <w:qFormat/>
    <w:rsid w:val="008E3D6B"/>
    <w:pPr>
      <w:ind w:left="720"/>
      <w:contextualSpacing/>
    </w:pPr>
  </w:style>
  <w:style w:type="paragraph" w:styleId="Header">
    <w:name w:val="header"/>
    <w:basedOn w:val="Normal"/>
    <w:link w:val="HeaderChar"/>
    <w:uiPriority w:val="99"/>
    <w:unhideWhenUsed/>
    <w:rsid w:val="008E3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D6B"/>
    <w:rPr>
      <w:rFonts w:ascii="Calibri" w:eastAsia="Times New Roman" w:hAnsi="Calibri" w:cs="Calibri"/>
      <w:lang w:eastAsia="ar-SA"/>
    </w:rPr>
  </w:style>
  <w:style w:type="paragraph" w:styleId="Footer">
    <w:name w:val="footer"/>
    <w:basedOn w:val="Normal"/>
    <w:link w:val="FooterChar"/>
    <w:uiPriority w:val="99"/>
    <w:unhideWhenUsed/>
    <w:rsid w:val="008E3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D6B"/>
    <w:rPr>
      <w:rFonts w:ascii="Calibri" w:eastAsia="Times New Roman" w:hAnsi="Calibri" w:cs="Calibri"/>
      <w:lang w:eastAsia="ar-SA"/>
    </w:rPr>
  </w:style>
  <w:style w:type="paragraph" w:styleId="BalloonText">
    <w:name w:val="Balloon Text"/>
    <w:basedOn w:val="Normal"/>
    <w:link w:val="BalloonTextChar"/>
    <w:uiPriority w:val="99"/>
    <w:semiHidden/>
    <w:unhideWhenUsed/>
    <w:rsid w:val="008E3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6B"/>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eng.org.uk/education/vps/pdf/rae_systems_repor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trs.nasa.gov/archive/nasa/casi.ntrs.nasa.gov/20080008301_200800850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3.imperial.ac.uk/graduateschool/currentstudents/mathsandstatscatch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1F31F67A89248A320D3F27B8099D6" ma:contentTypeVersion="0" ma:contentTypeDescription="Create a new document." ma:contentTypeScope="" ma:versionID="95eb2e144520320873f5a76d2fe9eb3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CCC16-BA42-44EF-AD2D-54369A747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451A044-CD58-4E81-830A-A4D6DECFF49D}">
  <ds:schemaRefs>
    <ds:schemaRef ds:uri="http://schemas.microsoft.com/sharepoint/v3/contenttype/forms"/>
  </ds:schemaRefs>
</ds:datastoreItem>
</file>

<file path=customXml/itemProps3.xml><?xml version="1.0" encoding="utf-8"?>
<ds:datastoreItem xmlns:ds="http://schemas.openxmlformats.org/officeDocument/2006/customXml" ds:itemID="{E935D087-06CD-4D84-9C6C-801069CF4542}">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Alexandra J</dc:creator>
  <cp:lastModifiedBy>Williams, Alexandra J</cp:lastModifiedBy>
  <cp:revision>2</cp:revision>
  <dcterms:created xsi:type="dcterms:W3CDTF">2014-09-29T19:37:00Z</dcterms:created>
  <dcterms:modified xsi:type="dcterms:W3CDTF">2014-09-29T19:37:00Z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0x010100EF41F31F67A89248A320D3F27B8099D6</vt:lpwstr>
  </property>
</Properties>
</file>