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BA3" w:rsidRPr="00C31886" w:rsidRDefault="00EC2E8C" w:rsidP="000D5BA3">
      <w:pPr>
        <w:pStyle w:val="Heading1"/>
      </w:pPr>
      <w:r>
        <w:rPr>
          <w:rFonts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E56651D" wp14:editId="3371F043">
            <wp:simplePos x="0" y="0"/>
            <wp:positionH relativeFrom="column">
              <wp:posOffset>5174615</wp:posOffset>
            </wp:positionH>
            <wp:positionV relativeFrom="paragraph">
              <wp:posOffset>-417830</wp:posOffset>
            </wp:positionV>
            <wp:extent cx="1449070" cy="805180"/>
            <wp:effectExtent l="171450" t="171450" r="379730" b="356870"/>
            <wp:wrapNone/>
            <wp:docPr id="11" name="il_fi" descr="http://www.sankey-diagrams.com/wp-content/myfotos/e_sankey_039/UK_2007_energyflow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ankey-diagrams.com/wp-content/myfotos/e_sankey_039/UK_2007_energyflows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805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BA3">
        <w:t>CI9.S.1.2 National Energy Systems and Energy Policy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272"/>
        <w:gridCol w:w="6970"/>
      </w:tblGrid>
      <w:tr w:rsidR="000D5BA3" w:rsidRPr="00C31886" w:rsidTr="002A7186">
        <w:tc>
          <w:tcPr>
            <w:tcW w:w="1229" w:type="pct"/>
            <w:tcBorders>
              <w:top w:val="single" w:sz="48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Course leader:</w:t>
            </w:r>
          </w:p>
        </w:tc>
        <w:tc>
          <w:tcPr>
            <w:tcW w:w="3771" w:type="pct"/>
            <w:tcBorders>
              <w:top w:val="single" w:sz="48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Dr Robert Gross</w:t>
            </w:r>
          </w:p>
        </w:tc>
      </w:tr>
      <w:tr w:rsidR="000D5BA3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  <w:b/>
              </w:rPr>
            </w:pPr>
            <w:r w:rsidRPr="00C31886">
              <w:rPr>
                <w:rFonts w:cs="Arial"/>
                <w:b/>
              </w:rPr>
              <w:t>Other contributors: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0D5BA3" w:rsidP="008C7D21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Dr </w:t>
            </w:r>
            <w:r w:rsidR="008C7D21">
              <w:rPr>
                <w:rFonts w:cs="Arial"/>
              </w:rPr>
              <w:t>Adam Hawkes</w:t>
            </w:r>
            <w:r>
              <w:rPr>
                <w:rFonts w:cs="Arial"/>
              </w:rPr>
              <w:t xml:space="preserve">, Dr </w:t>
            </w:r>
            <w:r w:rsidR="008C7D21">
              <w:rPr>
                <w:rFonts w:cs="Arial"/>
              </w:rPr>
              <w:t>Ned Ekins-Daukes, Dr Ausilio Bauen, Dr David Hart, Philip Baker, David Milborrow, Dr Gordon Edge, Dr Mark Bilton</w:t>
            </w:r>
          </w:p>
        </w:tc>
      </w:tr>
      <w:tr w:rsidR="000D5BA3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</w:rPr>
            </w:pPr>
            <w:r w:rsidRPr="00C31886">
              <w:rPr>
                <w:rFonts w:cs="Arial"/>
              </w:rPr>
              <w:t>Term: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Spring</w:t>
            </w:r>
          </w:p>
        </w:tc>
      </w:tr>
      <w:tr w:rsidR="000D5BA3" w:rsidRPr="00C31886" w:rsidTr="002A7186">
        <w:tc>
          <w:tcPr>
            <w:tcW w:w="1229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0D5BA3" w:rsidP="002A7186">
            <w:pPr>
              <w:pStyle w:val="BodyText1"/>
              <w:spacing w:line="276" w:lineRule="auto"/>
              <w:rPr>
                <w:rFonts w:cs="Arial"/>
              </w:rPr>
            </w:pPr>
            <w:r w:rsidRPr="00C31886">
              <w:rPr>
                <w:rFonts w:cs="Arial"/>
              </w:rPr>
              <w:t>Contact hours:</w:t>
            </w:r>
          </w:p>
        </w:tc>
        <w:tc>
          <w:tcPr>
            <w:tcW w:w="3771" w:type="pct"/>
            <w:tcBorders>
              <w:top w:val="single" w:sz="12" w:space="0" w:color="27849A"/>
              <w:bottom w:val="single" w:sz="12" w:space="0" w:color="27849A"/>
            </w:tcBorders>
          </w:tcPr>
          <w:p w:rsidR="000D5BA3" w:rsidRPr="00C31886" w:rsidRDefault="008C7D21" w:rsidP="002A7186">
            <w:pPr>
              <w:pStyle w:val="BodyText1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0D5BA3">
              <w:rPr>
                <w:rFonts w:cs="Arial"/>
              </w:rPr>
              <w:t>5</w:t>
            </w:r>
            <w:r>
              <w:rPr>
                <w:rFonts w:cs="Arial"/>
              </w:rPr>
              <w:t>-40</w:t>
            </w:r>
          </w:p>
        </w:tc>
      </w:tr>
    </w:tbl>
    <w:p w:rsidR="000D5BA3" w:rsidRPr="00C31886" w:rsidRDefault="000D5BA3" w:rsidP="000D5BA3">
      <w:pPr>
        <w:spacing w:after="0"/>
        <w:ind w:left="591" w:hanging="576"/>
        <w:jc w:val="both"/>
        <w:rPr>
          <w:rFonts w:ascii="Arial" w:hAnsi="Arial" w:cs="Arial"/>
          <w:b/>
          <w:sz w:val="20"/>
          <w:szCs w:val="20"/>
        </w:rPr>
      </w:pPr>
    </w:p>
    <w:p w:rsidR="000D5BA3" w:rsidRDefault="000D5BA3" w:rsidP="000D5BA3">
      <w:pPr>
        <w:pStyle w:val="Heading2"/>
      </w:pPr>
      <w:r>
        <w:t>1.0</w:t>
      </w:r>
      <w:r>
        <w:tab/>
      </w:r>
      <w:r w:rsidRPr="00C31886">
        <w:t xml:space="preserve">Aims </w:t>
      </w:r>
    </w:p>
    <w:p w:rsidR="000D5BA3" w:rsidRPr="00C31886" w:rsidRDefault="000D5BA3" w:rsidP="000D5BA3">
      <w:pPr>
        <w:spacing w:after="0"/>
        <w:ind w:left="585"/>
        <w:jc w:val="both"/>
        <w:rPr>
          <w:rFonts w:ascii="Arial" w:hAnsi="Arial" w:cs="Arial"/>
          <w:b/>
          <w:sz w:val="20"/>
          <w:szCs w:val="20"/>
        </w:rPr>
      </w:pPr>
    </w:p>
    <w:p w:rsidR="000D5BA3" w:rsidRPr="00C31886" w:rsidRDefault="00E14A28" w:rsidP="000D5BA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This module </w:t>
      </w:r>
      <w:r w:rsidR="00EC2E8C">
        <w:rPr>
          <w:rFonts w:ascii="Arial" w:hAnsi="Arial" w:cs="Arial"/>
          <w:color w:val="000000"/>
          <w:sz w:val="20"/>
          <w:szCs w:val="20"/>
        </w:rPr>
        <w:t xml:space="preserve">aims to provide </w:t>
      </w:r>
      <w:r>
        <w:rPr>
          <w:rFonts w:ascii="Arial" w:hAnsi="Arial" w:cs="Arial"/>
          <w:color w:val="000000"/>
          <w:sz w:val="20"/>
          <w:szCs w:val="20"/>
        </w:rPr>
        <w:t xml:space="preserve">students </w:t>
      </w:r>
      <w:r w:rsidR="00EC2E8C">
        <w:rPr>
          <w:rFonts w:ascii="Arial" w:hAnsi="Arial" w:cs="Arial"/>
          <w:color w:val="000000"/>
          <w:sz w:val="20"/>
          <w:szCs w:val="20"/>
        </w:rPr>
        <w:t xml:space="preserve">with an </w:t>
      </w:r>
      <w:r>
        <w:rPr>
          <w:rFonts w:ascii="Arial" w:hAnsi="Arial" w:cs="Arial"/>
          <w:color w:val="000000"/>
          <w:sz w:val="20"/>
          <w:szCs w:val="20"/>
        </w:rPr>
        <w:t>understand</w:t>
      </w:r>
      <w:r w:rsidR="00EC2E8C">
        <w:rPr>
          <w:rFonts w:ascii="Arial" w:hAnsi="Arial" w:cs="Arial"/>
          <w:color w:val="000000"/>
          <w:sz w:val="20"/>
          <w:szCs w:val="20"/>
        </w:rPr>
        <w:t>ing of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D5BA3">
        <w:rPr>
          <w:rFonts w:ascii="Arial" w:hAnsi="Arial" w:cs="Arial"/>
          <w:color w:val="000000"/>
          <w:sz w:val="20"/>
          <w:szCs w:val="20"/>
        </w:rPr>
        <w:t>the major drivers of future energy policy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0D5BA3">
        <w:rPr>
          <w:rFonts w:ascii="Arial" w:hAnsi="Arial" w:cs="Arial"/>
          <w:color w:val="000000"/>
          <w:sz w:val="20"/>
          <w:szCs w:val="20"/>
        </w:rPr>
        <w:t xml:space="preserve"> and its relationship to the national energy system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="000D5BA3">
        <w:rPr>
          <w:rFonts w:ascii="Arial" w:hAnsi="Arial" w:cs="Arial"/>
          <w:color w:val="000000"/>
          <w:sz w:val="20"/>
          <w:szCs w:val="20"/>
        </w:rPr>
        <w:t xml:space="preserve"> a</w:t>
      </w:r>
      <w:r>
        <w:rPr>
          <w:rFonts w:ascii="Arial" w:hAnsi="Arial" w:cs="Arial"/>
          <w:color w:val="000000"/>
          <w:sz w:val="20"/>
          <w:szCs w:val="20"/>
        </w:rPr>
        <w:t xml:space="preserve">s well as </w:t>
      </w:r>
      <w:r w:rsidR="000D5BA3">
        <w:rPr>
          <w:rFonts w:ascii="Arial" w:hAnsi="Arial" w:cs="Arial"/>
          <w:color w:val="000000"/>
          <w:sz w:val="20"/>
          <w:szCs w:val="20"/>
        </w:rPr>
        <w:t xml:space="preserve">demand and supply side engineering. This module is run in conjunction with the </w:t>
      </w:r>
      <w:r w:rsidR="008C7D21">
        <w:rPr>
          <w:rFonts w:ascii="Arial" w:hAnsi="Arial" w:cs="Arial"/>
          <w:color w:val="000000"/>
          <w:sz w:val="20"/>
          <w:szCs w:val="20"/>
        </w:rPr>
        <w:t xml:space="preserve">Energy Policy option of the </w:t>
      </w:r>
      <w:r w:rsidR="000D5BA3">
        <w:rPr>
          <w:rFonts w:ascii="Arial" w:hAnsi="Arial" w:cs="Arial"/>
          <w:color w:val="000000"/>
          <w:sz w:val="20"/>
          <w:szCs w:val="20"/>
        </w:rPr>
        <w:t xml:space="preserve">MSc in Environmental Technology and provides an opportunity to interact in class with </w:t>
      </w:r>
      <w:r w:rsidR="008C7D21">
        <w:rPr>
          <w:rFonts w:ascii="Arial" w:hAnsi="Arial" w:cs="Arial"/>
          <w:color w:val="000000"/>
          <w:sz w:val="20"/>
          <w:szCs w:val="20"/>
        </w:rPr>
        <w:t xml:space="preserve">our </w:t>
      </w:r>
      <w:r w:rsidR="00D40634">
        <w:rPr>
          <w:rFonts w:ascii="Arial" w:hAnsi="Arial" w:cs="Arial"/>
          <w:color w:val="000000"/>
          <w:sz w:val="20"/>
          <w:szCs w:val="20"/>
        </w:rPr>
        <w:t>more policy-</w:t>
      </w:r>
      <w:r w:rsidR="000D5BA3">
        <w:rPr>
          <w:rFonts w:ascii="Arial" w:hAnsi="Arial" w:cs="Arial"/>
          <w:color w:val="000000"/>
          <w:sz w:val="20"/>
          <w:szCs w:val="20"/>
        </w:rPr>
        <w:t>orientated</w:t>
      </w:r>
      <w:r w:rsidR="00D40634">
        <w:rPr>
          <w:rFonts w:ascii="Arial" w:hAnsi="Arial" w:cs="Arial"/>
          <w:color w:val="000000"/>
          <w:sz w:val="20"/>
          <w:szCs w:val="20"/>
        </w:rPr>
        <w:t xml:space="preserve"> students.</w:t>
      </w:r>
    </w:p>
    <w:p w:rsidR="000D5BA3" w:rsidRPr="00C31886" w:rsidRDefault="000D5BA3" w:rsidP="000D5BA3">
      <w:pPr>
        <w:pStyle w:val="itemise"/>
        <w:spacing w:line="276" w:lineRule="auto"/>
        <w:ind w:left="0" w:firstLine="0"/>
        <w:rPr>
          <w:rFonts w:cs="Arial"/>
        </w:rPr>
      </w:pPr>
    </w:p>
    <w:p w:rsidR="0013347B" w:rsidRDefault="0013347B" w:rsidP="0013347B">
      <w:pPr>
        <w:pStyle w:val="Heading2"/>
      </w:pPr>
      <w:r>
        <w:t>2.0</w:t>
      </w:r>
      <w:r>
        <w:tab/>
      </w:r>
      <w:r w:rsidRPr="00C31886">
        <w:t>Syllabus</w:t>
      </w:r>
    </w:p>
    <w:p w:rsidR="0013347B" w:rsidRPr="00655714" w:rsidRDefault="0013347B" w:rsidP="0013347B">
      <w:pPr>
        <w:pStyle w:val="BodyText1"/>
      </w:pPr>
    </w:p>
    <w:p w:rsidR="0013347B" w:rsidRPr="007815BF" w:rsidRDefault="0013347B" w:rsidP="0013347B">
      <w:pPr>
        <w:pStyle w:val="ListParagraph"/>
        <w:numPr>
          <w:ilvl w:val="0"/>
          <w:numId w:val="3"/>
        </w:numPr>
        <w:tabs>
          <w:tab w:val="left" w:pos="4786"/>
          <w:tab w:val="left" w:pos="5688"/>
          <w:tab w:val="left" w:pos="6912"/>
        </w:tabs>
        <w:rPr>
          <w:rFonts w:ascii="Arial" w:hAnsi="Arial" w:cs="Arial"/>
          <w:sz w:val="20"/>
          <w:szCs w:val="20"/>
        </w:rPr>
      </w:pPr>
      <w:r w:rsidRPr="007815BF">
        <w:rPr>
          <w:rFonts w:ascii="Arial" w:hAnsi="Arial" w:cs="Arial"/>
          <w:sz w:val="20"/>
          <w:szCs w:val="20"/>
        </w:rPr>
        <w:t>Introduction</w:t>
      </w:r>
      <w:r>
        <w:rPr>
          <w:rFonts w:ascii="Arial" w:hAnsi="Arial" w:cs="Arial"/>
          <w:sz w:val="20"/>
          <w:szCs w:val="20"/>
        </w:rPr>
        <w:t xml:space="preserve"> to</w:t>
      </w:r>
      <w:r w:rsidRPr="007815BF">
        <w:rPr>
          <w:rFonts w:ascii="Arial" w:hAnsi="Arial" w:cs="Arial"/>
          <w:sz w:val="20"/>
          <w:szCs w:val="20"/>
        </w:rPr>
        <w:t xml:space="preserve"> energy policy </w:t>
      </w:r>
      <w:r w:rsidRPr="007815BF">
        <w:rPr>
          <w:rFonts w:ascii="Arial" w:hAnsi="Arial" w:cs="Arial"/>
          <w:sz w:val="20"/>
          <w:szCs w:val="20"/>
        </w:rPr>
        <w:tab/>
      </w:r>
      <w:r w:rsidRPr="007815BF">
        <w:rPr>
          <w:rFonts w:ascii="Arial" w:hAnsi="Arial" w:cs="Arial"/>
          <w:sz w:val="20"/>
          <w:szCs w:val="20"/>
        </w:rPr>
        <w:tab/>
      </w:r>
      <w:r w:rsidRPr="007815BF">
        <w:rPr>
          <w:rFonts w:ascii="Arial" w:hAnsi="Arial" w:cs="Arial"/>
          <w:sz w:val="20"/>
          <w:szCs w:val="20"/>
        </w:rPr>
        <w:tab/>
      </w:r>
    </w:p>
    <w:p w:rsidR="0013347B" w:rsidRDefault="0013347B" w:rsidP="0013347B">
      <w:pPr>
        <w:pStyle w:val="ListParagraph"/>
        <w:numPr>
          <w:ilvl w:val="0"/>
          <w:numId w:val="3"/>
        </w:numPr>
        <w:tabs>
          <w:tab w:val="left" w:pos="4786"/>
          <w:tab w:val="left" w:pos="5688"/>
          <w:tab w:val="left" w:pos="6912"/>
        </w:tabs>
        <w:rPr>
          <w:rFonts w:ascii="Arial" w:hAnsi="Arial" w:cs="Arial"/>
          <w:sz w:val="20"/>
          <w:szCs w:val="20"/>
        </w:rPr>
      </w:pPr>
      <w:r w:rsidRPr="007815BF">
        <w:rPr>
          <w:rFonts w:ascii="Arial" w:hAnsi="Arial" w:cs="Arial"/>
          <w:sz w:val="20"/>
          <w:szCs w:val="20"/>
        </w:rPr>
        <w:t>Electricity systems and markets</w:t>
      </w:r>
    </w:p>
    <w:p w:rsidR="0013347B" w:rsidRPr="007815BF" w:rsidRDefault="0013347B" w:rsidP="0013347B">
      <w:pPr>
        <w:pStyle w:val="ListParagraph"/>
        <w:numPr>
          <w:ilvl w:val="0"/>
          <w:numId w:val="3"/>
        </w:numPr>
        <w:tabs>
          <w:tab w:val="left" w:pos="4786"/>
          <w:tab w:val="left" w:pos="5688"/>
          <w:tab w:val="left" w:pos="691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Technology overviews including solar PV, biomass, hydrogen and fuel cells, wind power, decentralised generation, demand-side management</w:t>
      </w:r>
      <w:r w:rsidRPr="007815BF">
        <w:rPr>
          <w:rFonts w:ascii="Arial" w:hAnsi="Arial" w:cs="Arial"/>
          <w:sz w:val="20"/>
          <w:szCs w:val="20"/>
        </w:rPr>
        <w:tab/>
      </w:r>
      <w:r w:rsidRPr="007815BF">
        <w:rPr>
          <w:rFonts w:ascii="Arial" w:hAnsi="Arial" w:cs="Arial"/>
          <w:sz w:val="20"/>
          <w:szCs w:val="20"/>
        </w:rPr>
        <w:tab/>
      </w:r>
      <w:r w:rsidRPr="007815BF">
        <w:rPr>
          <w:rFonts w:ascii="Arial" w:hAnsi="Arial" w:cs="Arial"/>
          <w:sz w:val="20"/>
          <w:szCs w:val="20"/>
        </w:rPr>
        <w:tab/>
      </w:r>
    </w:p>
    <w:p w:rsidR="0013347B" w:rsidRPr="0013347B" w:rsidRDefault="0013347B" w:rsidP="0013347B">
      <w:pPr>
        <w:pStyle w:val="ListParagraph"/>
        <w:numPr>
          <w:ilvl w:val="0"/>
          <w:numId w:val="3"/>
        </w:numPr>
        <w:tabs>
          <w:tab w:val="left" w:pos="4786"/>
          <w:tab w:val="left" w:pos="5688"/>
          <w:tab w:val="left" w:pos="6912"/>
        </w:tabs>
        <w:rPr>
          <w:sz w:val="24"/>
        </w:rPr>
      </w:pPr>
      <w:r w:rsidRPr="0013347B">
        <w:rPr>
          <w:rFonts w:ascii="Arial" w:hAnsi="Arial" w:cs="Arial"/>
          <w:sz w:val="20"/>
          <w:szCs w:val="20"/>
        </w:rPr>
        <w:t>Energy markets</w:t>
      </w:r>
    </w:p>
    <w:p w:rsidR="0013347B" w:rsidRPr="0013347B" w:rsidRDefault="0013347B" w:rsidP="0013347B">
      <w:pPr>
        <w:pStyle w:val="ListParagraph"/>
        <w:numPr>
          <w:ilvl w:val="0"/>
          <w:numId w:val="3"/>
        </w:numPr>
        <w:tabs>
          <w:tab w:val="left" w:pos="4786"/>
          <w:tab w:val="left" w:pos="5688"/>
          <w:tab w:val="left" w:pos="6912"/>
        </w:tabs>
        <w:rPr>
          <w:sz w:val="24"/>
        </w:rPr>
      </w:pPr>
      <w:r w:rsidRPr="0013347B">
        <w:rPr>
          <w:rFonts w:ascii="Arial" w:hAnsi="Arial" w:cs="Arial"/>
          <w:sz w:val="20"/>
          <w:szCs w:val="20"/>
        </w:rPr>
        <w:t xml:space="preserve">Renewables policy  </w:t>
      </w:r>
    </w:p>
    <w:p w:rsidR="0013347B" w:rsidRPr="0013347B" w:rsidRDefault="0013347B" w:rsidP="0013347B">
      <w:pPr>
        <w:pStyle w:val="Heading2"/>
      </w:pPr>
    </w:p>
    <w:p w:rsidR="000D5BA3" w:rsidRPr="00C31886" w:rsidRDefault="0013347B" w:rsidP="0013347B">
      <w:pPr>
        <w:pStyle w:val="Heading2"/>
      </w:pPr>
      <w:r>
        <w:t>3</w:t>
      </w:r>
      <w:r w:rsidR="000D5BA3">
        <w:t>.0</w:t>
      </w:r>
      <w:r w:rsidR="000D5BA3">
        <w:tab/>
      </w:r>
      <w:r w:rsidR="000D5BA3" w:rsidRPr="00C31886">
        <w:t>Intended learning outcomes</w:t>
      </w:r>
    </w:p>
    <w:p w:rsidR="000D5BA3" w:rsidRPr="00C31886" w:rsidRDefault="000D5BA3" w:rsidP="000D5BA3">
      <w:pPr>
        <w:pStyle w:val="BodyText1"/>
        <w:spacing w:line="276" w:lineRule="auto"/>
        <w:ind w:left="567" w:hanging="567"/>
        <w:rPr>
          <w:rFonts w:cs="Arial"/>
        </w:rPr>
      </w:pPr>
    </w:p>
    <w:p w:rsidR="000D5BA3" w:rsidRDefault="000D5BA3" w:rsidP="000D5BA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energy supply as a system</w:t>
      </w:r>
    </w:p>
    <w:p w:rsidR="000D5BA3" w:rsidRDefault="000D5BA3" w:rsidP="000D5BA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of the role and direction of national and international energy policy</w:t>
      </w:r>
    </w:p>
    <w:p w:rsidR="000D5BA3" w:rsidRDefault="00EC2E8C" w:rsidP="000D5BA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knowledge of i</w:t>
      </w:r>
      <w:r w:rsidR="000D5BA3">
        <w:rPr>
          <w:rFonts w:ascii="Arial" w:hAnsi="Arial" w:cs="Arial"/>
          <w:sz w:val="20"/>
          <w:szCs w:val="20"/>
        </w:rPr>
        <w:t>nstruments and interventions for decarbonisation of energy consumption</w:t>
      </w:r>
    </w:p>
    <w:p w:rsidR="000D5BA3" w:rsidRPr="00C31886" w:rsidRDefault="008C7D21" w:rsidP="000D5BA3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the characteristics of the major low-carbon electricity generation technologies and their implication for the energy system and policy</w:t>
      </w:r>
    </w:p>
    <w:p w:rsidR="000D5BA3" w:rsidRDefault="000D5BA3" w:rsidP="0013347B">
      <w:pPr>
        <w:pStyle w:val="ListParagraph"/>
        <w:tabs>
          <w:tab w:val="left" w:pos="4786"/>
          <w:tab w:val="left" w:pos="5688"/>
          <w:tab w:val="left" w:pos="6912"/>
        </w:tabs>
      </w:pPr>
      <w:r>
        <w:tab/>
      </w:r>
    </w:p>
    <w:p w:rsidR="000D5BA3" w:rsidRDefault="0013347B" w:rsidP="000D5BA3">
      <w:pPr>
        <w:pStyle w:val="Heading2"/>
      </w:pPr>
      <w:r>
        <w:t>4</w:t>
      </w:r>
      <w:r w:rsidR="000D5BA3">
        <w:t>.0</w:t>
      </w:r>
      <w:r w:rsidR="000D5BA3">
        <w:tab/>
        <w:t xml:space="preserve"> </w:t>
      </w:r>
      <w:r>
        <w:t>Assessment</w:t>
      </w:r>
    </w:p>
    <w:p w:rsidR="0013347B" w:rsidRPr="003509F7" w:rsidRDefault="0013347B" w:rsidP="0013347B">
      <w:pPr>
        <w:pStyle w:val="BodyText1"/>
      </w:pPr>
      <w:bookmarkStart w:id="0" w:name="_GoBack"/>
    </w:p>
    <w:p w:rsidR="0013347B" w:rsidRPr="003509F7" w:rsidRDefault="0013347B" w:rsidP="0013347B">
      <w:pPr>
        <w:pStyle w:val="BodyText1"/>
        <w:numPr>
          <w:ilvl w:val="0"/>
          <w:numId w:val="8"/>
        </w:numPr>
      </w:pPr>
      <w:r w:rsidRPr="003509F7">
        <w:t xml:space="preserve">There are two </w:t>
      </w:r>
      <w:proofErr w:type="spellStart"/>
      <w:r w:rsidRPr="003509F7">
        <w:t>Courseworks</w:t>
      </w:r>
      <w:proofErr w:type="spellEnd"/>
      <w:r w:rsidRPr="003509F7">
        <w:t xml:space="preserve"> ass</w:t>
      </w:r>
      <w:r w:rsidR="003509F7" w:rsidRPr="003509F7">
        <w:t>ociated with this module worth 15</w:t>
      </w:r>
      <w:r w:rsidRPr="003509F7">
        <w:t>% each.  Both need to be completed successfully in order to complete this module.</w:t>
      </w:r>
    </w:p>
    <w:p w:rsidR="0013347B" w:rsidRPr="003509F7" w:rsidRDefault="0013347B" w:rsidP="0013347B">
      <w:pPr>
        <w:pStyle w:val="BodyText1"/>
        <w:numPr>
          <w:ilvl w:val="0"/>
          <w:numId w:val="8"/>
        </w:numPr>
      </w:pPr>
      <w:r w:rsidRPr="003509F7">
        <w:t>Progress tests in the form of group work.</w:t>
      </w:r>
    </w:p>
    <w:bookmarkEnd w:id="0"/>
    <w:p w:rsidR="000D5BA3" w:rsidRDefault="000D5BA3" w:rsidP="000D5BA3">
      <w:pPr>
        <w:pStyle w:val="BodyText1"/>
      </w:pPr>
    </w:p>
    <w:p w:rsidR="0013347B" w:rsidRDefault="0013347B" w:rsidP="000D5BA3">
      <w:pPr>
        <w:pStyle w:val="BodyText1"/>
      </w:pPr>
    </w:p>
    <w:p w:rsidR="0013347B" w:rsidRDefault="0013347B" w:rsidP="000D5BA3">
      <w:pPr>
        <w:pStyle w:val="BodyText1"/>
      </w:pPr>
    </w:p>
    <w:p w:rsidR="0013347B" w:rsidRDefault="0013347B" w:rsidP="000D5BA3">
      <w:pPr>
        <w:pStyle w:val="BodyText1"/>
      </w:pPr>
    </w:p>
    <w:p w:rsidR="0013347B" w:rsidRDefault="0013347B" w:rsidP="000D5BA3">
      <w:pPr>
        <w:pStyle w:val="BodyText1"/>
      </w:pPr>
    </w:p>
    <w:p w:rsidR="0013347B" w:rsidRDefault="0013347B" w:rsidP="000D5BA3">
      <w:pPr>
        <w:pStyle w:val="BodyText1"/>
      </w:pPr>
    </w:p>
    <w:p w:rsidR="0013347B" w:rsidRPr="000A279F" w:rsidRDefault="0013347B" w:rsidP="0013347B">
      <w:pPr>
        <w:pStyle w:val="Heading2"/>
      </w:pPr>
      <w:r>
        <w:lastRenderedPageBreak/>
        <w:t>5.0</w:t>
      </w:r>
      <w:r>
        <w:tab/>
      </w:r>
      <w:r w:rsidRPr="000A279F">
        <w:t xml:space="preserve">Recommended </w:t>
      </w:r>
      <w:r>
        <w:t>reading:</w:t>
      </w:r>
    </w:p>
    <w:p w:rsidR="0013347B" w:rsidRPr="003B544A" w:rsidRDefault="0013347B" w:rsidP="0013347B">
      <w:pPr>
        <w:pStyle w:val="BodyText1"/>
        <w:tabs>
          <w:tab w:val="num" w:pos="0"/>
        </w:tabs>
        <w:spacing w:line="276" w:lineRule="auto"/>
        <w:rPr>
          <w:rFonts w:asciiTheme="minorHAnsi" w:hAnsiTheme="minorHAnsi" w:cstheme="minorHAnsi"/>
        </w:rPr>
      </w:pPr>
      <w:r w:rsidRPr="003B544A">
        <w:rPr>
          <w:rFonts w:asciiTheme="minorHAnsi" w:hAnsiTheme="minorHAnsi" w:cstheme="minorHAnsi"/>
        </w:rPr>
        <w:t>C = Core, S = Supplementary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326"/>
      </w:tblGrid>
      <w:tr w:rsidR="0013347B" w:rsidRPr="003B544A" w:rsidTr="00534041">
        <w:tc>
          <w:tcPr>
            <w:tcW w:w="808" w:type="dxa"/>
          </w:tcPr>
          <w:p w:rsidR="0013347B" w:rsidRPr="003B544A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b w:val="0"/>
                <w:sz w:val="20"/>
                <w:lang w:val="en"/>
              </w:rPr>
            </w:pPr>
            <w:r w:rsidRPr="0034145F">
              <w:rPr>
                <w:rFonts w:cs="Arial"/>
                <w:b w:val="0"/>
                <w:sz w:val="20"/>
              </w:rPr>
              <w:t xml:space="preserve">DECC 2013 </w:t>
            </w:r>
            <w:r w:rsidRPr="0034145F">
              <w:rPr>
                <w:b w:val="0"/>
                <w:i/>
                <w:sz w:val="20"/>
                <w:lang w:val="en"/>
              </w:rPr>
              <w:t>Consultation on the draft Electricity Market Reform Delivery</w:t>
            </w:r>
            <w:r w:rsidRPr="0034145F">
              <w:rPr>
                <w:b w:val="0"/>
                <w:sz w:val="20"/>
                <w:lang w:val="en"/>
              </w:rPr>
              <w:t xml:space="preserve">, Department of Energy and Climate Change, London, available from: </w:t>
            </w:r>
            <w:hyperlink r:id="rId12" w:history="1">
              <w:r w:rsidRPr="0034145F">
                <w:rPr>
                  <w:rStyle w:val="Hyperlink"/>
                  <w:b w:val="0"/>
                  <w:sz w:val="20"/>
                  <w:lang w:val="en"/>
                </w:rPr>
                <w:t>https://www.gov.uk/government/consultations/consultation-on-the-draft-electricity-market-reform-delivery</w:t>
              </w:r>
            </w:hyperlink>
          </w:p>
          <w:p w:rsidR="0013347B" w:rsidRPr="007E45DD" w:rsidRDefault="0013347B" w:rsidP="00534041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pacing w:val="-3"/>
                <w:sz w:val="20"/>
                <w:szCs w:val="20"/>
              </w:rPr>
            </w:pP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 xml:space="preserve">IEA, 2012, </w:t>
            </w:r>
            <w:r w:rsidRPr="0034145F">
              <w:rPr>
                <w:rFonts w:ascii="Arial" w:hAnsi="Arial" w:cs="Arial"/>
                <w:i/>
                <w:spacing w:val="-3"/>
                <w:sz w:val="20"/>
                <w:szCs w:val="20"/>
              </w:rPr>
              <w:t>Key world energy statistics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 xml:space="preserve">, International Energy Agency, Paris, available from </w:t>
            </w:r>
            <w:hyperlink r:id="rId13" w:history="1">
              <w:r w:rsidRPr="0034145F">
                <w:rPr>
                  <w:rStyle w:val="Hyperlink"/>
                  <w:rFonts w:ascii="Arial" w:hAnsi="Arial" w:cs="Arial"/>
                  <w:spacing w:val="-3"/>
                  <w:sz w:val="20"/>
                  <w:szCs w:val="20"/>
                </w:rPr>
                <w:t>https://www.iea.org/publications/freepublications/publication/kwes.pdf</w:t>
              </w:r>
            </w:hyperlink>
          </w:p>
          <w:p w:rsidR="0013347B" w:rsidRPr="0034145F" w:rsidRDefault="0013347B" w:rsidP="0013347B">
            <w:pPr>
              <w:pStyle w:val="Heading1"/>
              <w:numPr>
                <w:ilvl w:val="0"/>
                <w:numId w:val="0"/>
              </w:numPr>
              <w:spacing w:before="0" w:after="0"/>
              <w:rPr>
                <w:rFonts w:cs="Arial"/>
                <w:b w:val="0"/>
                <w:sz w:val="20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m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g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proofErr w:type="spellEnd"/>
            <w:r w:rsidRPr="0034145F">
              <w:rPr>
                <w:rFonts w:ascii="Arial" w:hAnsi="Arial" w:cs="Arial"/>
                <w:sz w:val="20"/>
                <w:szCs w:val="20"/>
              </w:rPr>
              <w:t>,</w:t>
            </w:r>
            <w:r w:rsidRPr="0034145F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J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z w:val="20"/>
                <w:szCs w:val="20"/>
              </w:rPr>
              <w:t>t</w:t>
            </w:r>
            <w:r w:rsidRPr="0034145F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1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9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)</w:t>
            </w:r>
            <w:r w:rsidRPr="0034145F">
              <w:rPr>
                <w:rFonts w:ascii="Arial" w:hAnsi="Arial" w:cs="Arial"/>
                <w:sz w:val="20"/>
                <w:szCs w:val="20"/>
              </w:rPr>
              <w:t>,</w:t>
            </w:r>
            <w:r w:rsidRPr="0034145F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i/>
                <w:spacing w:val="-3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i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rg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34145F">
              <w:rPr>
                <w:rFonts w:ascii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34145F">
              <w:rPr>
                <w:rFonts w:ascii="Arial" w:hAnsi="Arial" w:cs="Arial"/>
                <w:i/>
                <w:spacing w:val="4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i/>
                <w:spacing w:val="43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i/>
                <w:spacing w:val="-4"/>
                <w:sz w:val="20"/>
                <w:szCs w:val="20"/>
              </w:rPr>
              <w:t>G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u</w:t>
            </w:r>
            <w:r w:rsidRPr="0034145F">
              <w:rPr>
                <w:rFonts w:ascii="Arial" w:hAnsi="Arial" w:cs="Arial"/>
                <w:i/>
                <w:spacing w:val="-2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i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b</w:t>
            </w:r>
            <w:r w:rsidRPr="0034145F">
              <w:rPr>
                <w:rFonts w:ascii="Arial" w:hAnsi="Arial" w:cs="Arial"/>
                <w:i/>
                <w:spacing w:val="-2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i/>
                <w:spacing w:val="-5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i/>
                <w:spacing w:val="-2"/>
                <w:sz w:val="20"/>
                <w:szCs w:val="20"/>
              </w:rPr>
              <w:t>k</w:t>
            </w:r>
            <w:r w:rsidRPr="0034145F">
              <w:rPr>
                <w:rFonts w:ascii="Arial" w:hAnsi="Arial" w:cs="Arial"/>
                <w:sz w:val="20"/>
                <w:szCs w:val="20"/>
              </w:rPr>
              <w:t>,</w:t>
            </w:r>
            <w:r w:rsidRPr="0034145F">
              <w:rPr>
                <w:rFonts w:ascii="Arial" w:hAnsi="Arial" w:cs="Arial"/>
                <w:spacing w:val="43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on</w:t>
            </w:r>
            <w:r w:rsidRPr="0034145F">
              <w:rPr>
                <w:rFonts w:ascii="Arial" w:hAnsi="Arial" w:cs="Arial"/>
                <w:sz w:val="20"/>
                <w:szCs w:val="20"/>
              </w:rPr>
              <w:t>,</w:t>
            </w:r>
            <w:r w:rsidRPr="0034145F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spacing w:val="-6"/>
                <w:sz w:val="20"/>
                <w:szCs w:val="20"/>
              </w:rPr>
              <w:t>x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fo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U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v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it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Pr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ou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4145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Le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v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z w:val="20"/>
                <w:szCs w:val="20"/>
              </w:rPr>
              <w:t>l</w:t>
            </w:r>
            <w:r w:rsidRPr="0034145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z w:val="20"/>
                <w:szCs w:val="20"/>
              </w:rPr>
              <w:t>3</w:t>
            </w:r>
            <w:r w:rsidRPr="0034145F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P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34145F">
              <w:rPr>
                <w:rFonts w:ascii="Arial" w:hAnsi="Arial" w:cs="Arial"/>
                <w:spacing w:val="-6"/>
                <w:sz w:val="20"/>
                <w:szCs w:val="20"/>
              </w:rPr>
              <w:t>y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ic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z w:val="20"/>
                <w:szCs w:val="20"/>
              </w:rPr>
              <w:t>l</w:t>
            </w:r>
            <w:r w:rsidRPr="0034145F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z w:val="20"/>
                <w:szCs w:val="20"/>
              </w:rPr>
              <w:t>&amp;</w:t>
            </w:r>
            <w:r w:rsidRPr="0034145F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g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z w:val="20"/>
                <w:szCs w:val="20"/>
              </w:rPr>
              <w:t>g</w:t>
            </w:r>
            <w:r w:rsidRPr="0034145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t</w:t>
            </w:r>
            <w:r w:rsidRPr="0034145F">
              <w:rPr>
                <w:rFonts w:ascii="Arial" w:hAnsi="Arial" w:cs="Arial"/>
                <w:sz w:val="20"/>
                <w:szCs w:val="20"/>
              </w:rPr>
              <w:t>h</w:t>
            </w:r>
            <w:r w:rsidRPr="0034145F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6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u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r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c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z w:val="20"/>
                <w:szCs w:val="20"/>
              </w:rPr>
              <w:t>,</w:t>
            </w:r>
            <w:r w:rsidRPr="0034145F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RA</w:t>
            </w:r>
            <w:r w:rsidRPr="0034145F">
              <w:rPr>
                <w:rFonts w:ascii="Arial" w:hAnsi="Arial" w:cs="Arial"/>
                <w:sz w:val="20"/>
                <w:szCs w:val="20"/>
              </w:rPr>
              <w:t>M</w:t>
            </w:r>
            <w:r w:rsidRPr="0034145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(S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ANDARD</w:t>
            </w:r>
            <w:r w:rsidRPr="0034145F">
              <w:rPr>
                <w:rFonts w:ascii="Arial" w:hAnsi="Arial" w:cs="Arial"/>
                <w:sz w:val="20"/>
                <w:szCs w:val="20"/>
              </w:rPr>
              <w:t>)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 xml:space="preserve"> a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6"/>
                <w:sz w:val="20"/>
                <w:szCs w:val="20"/>
              </w:rPr>
              <w:t>M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ec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ha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i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z w:val="20"/>
                <w:szCs w:val="20"/>
              </w:rPr>
              <w:t>l</w:t>
            </w:r>
            <w:r w:rsidRPr="003414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z w:val="20"/>
                <w:szCs w:val="20"/>
              </w:rPr>
              <w:t>g</w:t>
            </w:r>
            <w:proofErr w:type="spellEnd"/>
            <w:r w:rsidRPr="003414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6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0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34145F">
              <w:rPr>
                <w:rFonts w:ascii="Arial" w:hAnsi="Arial" w:cs="Arial"/>
                <w:sz w:val="20"/>
                <w:szCs w:val="20"/>
              </w:rPr>
              <w:t>9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(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T</w:t>
            </w:r>
            <w:r w:rsidRPr="0034145F">
              <w:rPr>
                <w:rFonts w:ascii="Arial" w:hAnsi="Arial" w:cs="Arial"/>
                <w:spacing w:val="-3"/>
                <w:sz w:val="20"/>
                <w:szCs w:val="20"/>
              </w:rPr>
              <w:t>ANDARD</w:t>
            </w:r>
            <w:r w:rsidRPr="0034145F">
              <w:rPr>
                <w:rFonts w:ascii="Arial" w:hAnsi="Arial" w:cs="Arial"/>
                <w:sz w:val="20"/>
                <w:szCs w:val="20"/>
              </w:rPr>
              <w:t>)</w:t>
            </w:r>
            <w:r w:rsidRPr="003414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n</w:t>
            </w:r>
            <w:r w:rsidRPr="0034145F">
              <w:rPr>
                <w:rFonts w:ascii="Arial" w:hAnsi="Arial" w:cs="Arial"/>
                <w:sz w:val="20"/>
                <w:szCs w:val="20"/>
              </w:rPr>
              <w:t>d</w:t>
            </w:r>
            <w:r w:rsidRPr="0034145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b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spacing w:val="-4"/>
                <w:sz w:val="20"/>
                <w:szCs w:val="20"/>
              </w:rPr>
              <w:t>ks</w:t>
            </w:r>
            <w:r w:rsidRPr="0034145F">
              <w:rPr>
                <w:rFonts w:ascii="Arial" w:hAnsi="Arial" w:cs="Arial"/>
                <w:spacing w:val="-2"/>
                <w:sz w:val="20"/>
                <w:szCs w:val="20"/>
              </w:rPr>
              <w:t>h</w:t>
            </w:r>
            <w:r w:rsidRPr="0034145F">
              <w:rPr>
                <w:rFonts w:ascii="Arial" w:hAnsi="Arial" w:cs="Arial"/>
                <w:spacing w:val="-5"/>
                <w:sz w:val="20"/>
                <w:szCs w:val="20"/>
              </w:rPr>
              <w:t>o</w:t>
            </w:r>
            <w:r w:rsidRPr="0034145F">
              <w:rPr>
                <w:rFonts w:ascii="Arial" w:hAnsi="Arial" w:cs="Arial"/>
                <w:sz w:val="20"/>
                <w:szCs w:val="20"/>
              </w:rPr>
              <w:t>p</w:t>
            </w:r>
          </w:p>
          <w:p w:rsidR="0013347B" w:rsidRPr="0034145F" w:rsidRDefault="0013347B" w:rsidP="0013347B">
            <w:pPr>
              <w:pStyle w:val="BodyText1"/>
              <w:rPr>
                <w:lang w:val="en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34145F">
              <w:rPr>
                <w:rFonts w:ascii="Arial" w:hAnsi="Arial" w:cs="Arial"/>
                <w:sz w:val="20"/>
                <w:szCs w:val="20"/>
                <w:lang w:eastAsia="en-GB"/>
              </w:rPr>
              <w:t xml:space="preserve">Slade et al. 2011, </w:t>
            </w:r>
            <w:r w:rsidRPr="0034145F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Energy from biomass: the size of the global resource</w:t>
            </w:r>
            <w:r w:rsidRPr="0034145F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UK Energy Research Centre </w:t>
            </w:r>
            <w:hyperlink r:id="rId14" w:history="1">
              <w:r w:rsidRPr="0034145F">
                <w:rPr>
                  <w:rStyle w:val="Hyperlink"/>
                  <w:rFonts w:ascii="Arial" w:hAnsi="Arial" w:cs="Arial"/>
                  <w:sz w:val="20"/>
                  <w:szCs w:val="20"/>
                  <w:lang w:eastAsia="en-GB"/>
                </w:rPr>
                <w:t>http://www.ukerc.ac.uk/support/tiki-index.php?page_ref_id=3026</w:t>
              </w:r>
            </w:hyperlink>
          </w:p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45F">
              <w:rPr>
                <w:rFonts w:ascii="Arial" w:hAnsi="Arial" w:cs="Arial"/>
                <w:sz w:val="20"/>
                <w:szCs w:val="20"/>
              </w:rPr>
              <w:t xml:space="preserve">Stern, N. 2007,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The Economics of Climate Change: The Stern Review</w:t>
            </w:r>
            <w:r w:rsidRPr="0034145F">
              <w:rPr>
                <w:rFonts w:ascii="Arial" w:hAnsi="Arial" w:cs="Arial"/>
                <w:sz w:val="20"/>
                <w:szCs w:val="20"/>
              </w:rPr>
              <w:t>. The Cabinet Office-HM Treasury: London. [Chapters 14 and 15]</w:t>
            </w:r>
          </w:p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45F">
              <w:rPr>
                <w:rFonts w:ascii="Arial" w:hAnsi="Arial" w:cs="Arial"/>
                <w:sz w:val="20"/>
                <w:szCs w:val="20"/>
              </w:rPr>
              <w:t xml:space="preserve">UKERC 2006,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The costs and impacts of intermittency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, available from: </w:t>
            </w:r>
            <w:hyperlink r:id="rId15" w:history="1">
              <w:r w:rsidRPr="003414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http://www.ukerc.ac.uk/support/tiki-index.php?page=Intermittency</w:t>
              </w:r>
            </w:hyperlink>
          </w:p>
          <w:p w:rsidR="0013347B" w:rsidRPr="0034145F" w:rsidRDefault="0013347B" w:rsidP="001334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z w:val="20"/>
                <w:szCs w:val="20"/>
              </w:rPr>
            </w:pPr>
            <w:r w:rsidRPr="0034145F">
              <w:rPr>
                <w:rFonts w:ascii="Arial" w:hAnsi="Arial" w:cs="Arial"/>
                <w:sz w:val="20"/>
                <w:szCs w:val="20"/>
              </w:rPr>
              <w:t xml:space="preserve">UKERC 2007,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Investment Decisions in electricity generation, the role of costs, incentives and risks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, available from: </w:t>
            </w:r>
            <w:hyperlink r:id="rId16" w:history="1">
              <w:r w:rsidRPr="003414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http://www.ukerc.ac.uk/support/tiki-index.php?page=InvestingInPower</w:t>
              </w:r>
            </w:hyperlink>
          </w:p>
          <w:p w:rsidR="0013347B" w:rsidRPr="0034145F" w:rsidRDefault="0013347B" w:rsidP="001334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47B" w:rsidRPr="003B544A" w:rsidTr="00534041">
        <w:tc>
          <w:tcPr>
            <w:tcW w:w="808" w:type="dxa"/>
          </w:tcPr>
          <w:p w:rsidR="0013347B" w:rsidRDefault="0013347B" w:rsidP="00534041">
            <w:pPr>
              <w:pStyle w:val="BodyText1"/>
              <w:tabs>
                <w:tab w:val="num" w:pos="0"/>
              </w:tabs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8326" w:type="dxa"/>
          </w:tcPr>
          <w:p w:rsidR="0013347B" w:rsidRPr="0034145F" w:rsidRDefault="0013347B" w:rsidP="0013347B">
            <w:pPr>
              <w:numPr>
                <w:ilvl w:val="12"/>
                <w:numId w:val="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4145F">
              <w:rPr>
                <w:rFonts w:ascii="Arial" w:hAnsi="Arial" w:cs="Arial"/>
                <w:sz w:val="20"/>
                <w:szCs w:val="20"/>
              </w:rPr>
              <w:t xml:space="preserve">UKERC 2010, </w:t>
            </w:r>
            <w:r w:rsidRPr="0034145F">
              <w:rPr>
                <w:rFonts w:ascii="Arial" w:hAnsi="Arial" w:cs="Arial"/>
                <w:i/>
                <w:sz w:val="20"/>
                <w:szCs w:val="20"/>
              </w:rPr>
              <w:t>Great expectations: the costs of offshore wind in UK waters, understanding the past and projecting the future</w:t>
            </w:r>
            <w:r w:rsidRPr="0034145F">
              <w:rPr>
                <w:rFonts w:ascii="Arial" w:hAnsi="Arial" w:cs="Arial"/>
                <w:sz w:val="20"/>
                <w:szCs w:val="20"/>
              </w:rPr>
              <w:t xml:space="preserve">, available from:  </w:t>
            </w:r>
            <w:hyperlink r:id="rId17" w:history="1">
              <w:r w:rsidRPr="0034145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http://www.ukerc.ac.uk/support/tiki-index.php?page=Great+Expectations%3A+The+cost+of+offshore+wind+in+UK+waters</w:t>
              </w:r>
            </w:hyperlink>
          </w:p>
          <w:p w:rsidR="0013347B" w:rsidRPr="0034145F" w:rsidRDefault="0013347B" w:rsidP="0013347B">
            <w:pPr>
              <w:pStyle w:val="BodyText"/>
              <w:spacing w:after="0" w:line="240" w:lineRule="auto"/>
              <w:ind w:right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105" w:rsidRPr="0034145F" w:rsidRDefault="00700105" w:rsidP="00700105">
      <w:pPr>
        <w:pStyle w:val="BodyText"/>
        <w:spacing w:after="0" w:line="240" w:lineRule="auto"/>
        <w:ind w:right="2"/>
        <w:rPr>
          <w:rFonts w:ascii="Arial" w:hAnsi="Arial" w:cs="Arial"/>
          <w:spacing w:val="-3"/>
          <w:sz w:val="20"/>
          <w:szCs w:val="20"/>
        </w:rPr>
      </w:pPr>
    </w:p>
    <w:p w:rsidR="0034145F" w:rsidRPr="0034145F" w:rsidRDefault="0034145F" w:rsidP="00700105">
      <w:pPr>
        <w:pStyle w:val="BodyText"/>
        <w:spacing w:after="0" w:line="240" w:lineRule="auto"/>
        <w:ind w:right="2"/>
        <w:rPr>
          <w:rFonts w:ascii="Arial" w:hAnsi="Arial" w:cs="Arial"/>
          <w:sz w:val="20"/>
          <w:szCs w:val="20"/>
        </w:rPr>
      </w:pPr>
    </w:p>
    <w:p w:rsidR="00700105" w:rsidRPr="0034145F" w:rsidRDefault="00700105" w:rsidP="00700105">
      <w:pPr>
        <w:pStyle w:val="BodyText"/>
        <w:spacing w:after="0" w:line="240" w:lineRule="auto"/>
        <w:ind w:right="2"/>
        <w:rPr>
          <w:rFonts w:ascii="Arial" w:hAnsi="Arial" w:cs="Arial"/>
          <w:sz w:val="20"/>
          <w:szCs w:val="20"/>
        </w:rPr>
      </w:pPr>
    </w:p>
    <w:p w:rsidR="00700105" w:rsidRPr="0034145F" w:rsidRDefault="00700105" w:rsidP="00700105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16589A" w:rsidRPr="0034145F" w:rsidRDefault="0016589A" w:rsidP="007001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00105" w:rsidRPr="0034145F" w:rsidRDefault="00700105" w:rsidP="00700105">
      <w:pPr>
        <w:pStyle w:val="BodyText"/>
        <w:spacing w:after="0" w:line="240" w:lineRule="auto"/>
        <w:ind w:right="2"/>
        <w:rPr>
          <w:rFonts w:ascii="Arial" w:hAnsi="Arial" w:cs="Arial"/>
          <w:sz w:val="20"/>
          <w:szCs w:val="20"/>
        </w:rPr>
      </w:pPr>
    </w:p>
    <w:p w:rsidR="0016589A" w:rsidRDefault="0016589A" w:rsidP="00700105">
      <w:pPr>
        <w:pStyle w:val="BodyText"/>
        <w:spacing w:before="58"/>
        <w:ind w:right="2"/>
        <w:jc w:val="both"/>
        <w:rPr>
          <w:rFonts w:ascii="Arial" w:hAnsi="Arial" w:cs="Arial"/>
          <w:iCs/>
          <w:sz w:val="18"/>
          <w:szCs w:val="18"/>
        </w:rPr>
      </w:pPr>
    </w:p>
    <w:p w:rsidR="00700105" w:rsidRPr="0016589A" w:rsidRDefault="00700105">
      <w:pPr>
        <w:pStyle w:val="BodyText"/>
        <w:spacing w:before="58"/>
        <w:ind w:right="2"/>
        <w:jc w:val="both"/>
        <w:rPr>
          <w:rFonts w:ascii="Arial" w:hAnsi="Arial" w:cs="Arial"/>
          <w:sz w:val="20"/>
          <w:szCs w:val="20"/>
        </w:rPr>
      </w:pPr>
    </w:p>
    <w:sectPr w:rsidR="00700105" w:rsidRPr="0016589A">
      <w:headerReference w:type="default" r:id="rId18"/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97" w:rsidRDefault="00994597" w:rsidP="00D84F10">
      <w:pPr>
        <w:spacing w:after="0" w:line="240" w:lineRule="auto"/>
      </w:pPr>
      <w:r>
        <w:separator/>
      </w:r>
    </w:p>
  </w:endnote>
  <w:endnote w:type="continuationSeparator" w:id="0">
    <w:p w:rsidR="00994597" w:rsidRDefault="00994597" w:rsidP="00D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60" w:rsidRPr="00D42F81" w:rsidRDefault="003F1E60" w:rsidP="003F1E60">
    <w:pPr>
      <w:pStyle w:val="Footer"/>
      <w:shd w:val="clear" w:color="auto" w:fill="548DD4"/>
      <w:tabs>
        <w:tab w:val="clear" w:pos="4513"/>
        <w:tab w:val="clear" w:pos="9026"/>
        <w:tab w:val="left" w:pos="2670"/>
      </w:tabs>
      <w:rPr>
        <w:color w:val="FFFFFF"/>
      </w:rPr>
    </w:pPr>
    <w:r w:rsidRPr="00E93615">
      <w:rPr>
        <w:color w:val="FFFFFF"/>
      </w:rPr>
      <w:t xml:space="preserve">Revised: </w:t>
    </w:r>
    <w:r w:rsidR="003509F7">
      <w:rPr>
        <w:color w:val="FFFFFF"/>
      </w:rPr>
      <w:t>19/11/2015</w:t>
    </w:r>
    <w:r>
      <w:rPr>
        <w:color w:val="FFFFFF"/>
      </w:rPr>
      <w:tab/>
    </w:r>
  </w:p>
  <w:p w:rsidR="0013347B" w:rsidRDefault="001334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97" w:rsidRDefault="00994597" w:rsidP="00D84F10">
      <w:pPr>
        <w:spacing w:after="0" w:line="240" w:lineRule="auto"/>
      </w:pPr>
      <w:r>
        <w:separator/>
      </w:r>
    </w:p>
  </w:footnote>
  <w:footnote w:type="continuationSeparator" w:id="0">
    <w:p w:rsidR="00994597" w:rsidRDefault="00994597" w:rsidP="00D84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E60" w:rsidRDefault="003F1E60" w:rsidP="003F1E60">
    <w:r>
      <w:rPr>
        <w:noProof/>
        <w:lang w:eastAsia="en-GB"/>
      </w:rPr>
      <w:drawing>
        <wp:inline distT="0" distB="0" distL="0" distR="0" wp14:anchorId="2B74F724" wp14:editId="4139D8CD">
          <wp:extent cx="1600200" cy="419100"/>
          <wp:effectExtent l="19050" t="0" r="0" b="0"/>
          <wp:docPr id="1" name="Picture 1" descr="logo_imperial_college_lond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mperial_college_londo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1E60" w:rsidRPr="00BA5754" w:rsidRDefault="003F1E60" w:rsidP="003F1E60">
    <w:pPr>
      <w:shd w:val="clear" w:color="auto" w:fill="17365D"/>
      <w:spacing w:after="0" w:line="240" w:lineRule="auto"/>
      <w:rPr>
        <w:color w:val="FFFFFF"/>
        <w:sz w:val="32"/>
      </w:rPr>
    </w:pPr>
    <w:r w:rsidRPr="00BA5754">
      <w:rPr>
        <w:color w:val="FFFFFF"/>
        <w:sz w:val="32"/>
      </w:rPr>
      <w:t xml:space="preserve">Department of </w:t>
    </w:r>
    <w:r>
      <w:rPr>
        <w:color w:val="FFFFFF"/>
        <w:sz w:val="32"/>
      </w:rPr>
      <w:t>Civil and Environmental Engineering</w:t>
    </w:r>
  </w:p>
  <w:p w:rsidR="003F1E60" w:rsidRDefault="003F1E60" w:rsidP="003F1E60">
    <w:pPr>
      <w:shd w:val="clear" w:color="auto" w:fill="17365D"/>
      <w:spacing w:after="0" w:line="240" w:lineRule="auto"/>
      <w:rPr>
        <w:color w:val="FFFFFF"/>
        <w:sz w:val="32"/>
      </w:rPr>
    </w:pPr>
    <w:r>
      <w:rPr>
        <w:color w:val="FFFFFF"/>
        <w:sz w:val="32"/>
      </w:rPr>
      <w:t>Module descriptor 2014-15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7EA710E"/>
    <w:multiLevelType w:val="hybridMultilevel"/>
    <w:tmpl w:val="4F781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028DC"/>
    <w:multiLevelType w:val="hybridMultilevel"/>
    <w:tmpl w:val="64B6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C267F"/>
    <w:multiLevelType w:val="hybridMultilevel"/>
    <w:tmpl w:val="2756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25054"/>
    <w:multiLevelType w:val="hybridMultilevel"/>
    <w:tmpl w:val="C15EE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D2B11"/>
    <w:multiLevelType w:val="hybridMultilevel"/>
    <w:tmpl w:val="E6E46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924415"/>
    <w:multiLevelType w:val="hybridMultilevel"/>
    <w:tmpl w:val="3E7E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A3"/>
    <w:rsid w:val="00042580"/>
    <w:rsid w:val="000D5BA3"/>
    <w:rsid w:val="0013347B"/>
    <w:rsid w:val="0016589A"/>
    <w:rsid w:val="0034145F"/>
    <w:rsid w:val="003509F7"/>
    <w:rsid w:val="00366439"/>
    <w:rsid w:val="003944E4"/>
    <w:rsid w:val="003B6D5D"/>
    <w:rsid w:val="003F1E60"/>
    <w:rsid w:val="00686872"/>
    <w:rsid w:val="00700105"/>
    <w:rsid w:val="00720097"/>
    <w:rsid w:val="008C7D21"/>
    <w:rsid w:val="008D69A1"/>
    <w:rsid w:val="00994597"/>
    <w:rsid w:val="00D40634"/>
    <w:rsid w:val="00D84F10"/>
    <w:rsid w:val="00E14A28"/>
    <w:rsid w:val="00EC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3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0D5BA3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0D5BA3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0D5BA3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0D5BA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BA3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D5BA3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0D5BA3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D5BA3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styleId="BodyText">
    <w:name w:val="Body Text"/>
    <w:basedOn w:val="Normal"/>
    <w:link w:val="BodyTextChar"/>
    <w:rsid w:val="000D5B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5BA3"/>
    <w:rPr>
      <w:rFonts w:ascii="Calibri" w:eastAsia="Times New Roman" w:hAnsi="Calibri" w:cs="Calibri"/>
      <w:lang w:eastAsia="ar-SA"/>
    </w:rPr>
  </w:style>
  <w:style w:type="paragraph" w:customStyle="1" w:styleId="BodyText1">
    <w:name w:val="Body Text1"/>
    <w:basedOn w:val="Normal"/>
    <w:rsid w:val="000D5BA3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0D5BA3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qFormat/>
    <w:rsid w:val="000D5BA3"/>
    <w:pPr>
      <w:ind w:left="720"/>
      <w:contextualSpacing/>
    </w:pPr>
  </w:style>
  <w:style w:type="character" w:styleId="Hyperlink">
    <w:name w:val="Hyperlink"/>
    <w:rsid w:val="001658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1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10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8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10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1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BA3"/>
    <w:pPr>
      <w:suppressAutoHyphens/>
    </w:pPr>
    <w:rPr>
      <w:rFonts w:ascii="Calibri" w:eastAsia="Times New Roman" w:hAnsi="Calibri" w:cs="Calibri"/>
      <w:lang w:eastAsia="ar-SA"/>
    </w:rPr>
  </w:style>
  <w:style w:type="paragraph" w:styleId="Heading1">
    <w:name w:val="heading 1"/>
    <w:basedOn w:val="Normal"/>
    <w:next w:val="BodyText1"/>
    <w:link w:val="Heading1Char"/>
    <w:qFormat/>
    <w:rsid w:val="000D5BA3"/>
    <w:pPr>
      <w:numPr>
        <w:numId w:val="1"/>
      </w:numPr>
      <w:spacing w:before="24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BodyText1"/>
    <w:link w:val="Heading2Char"/>
    <w:qFormat/>
    <w:rsid w:val="000D5BA3"/>
    <w:pPr>
      <w:numPr>
        <w:ilvl w:val="1"/>
        <w:numId w:val="1"/>
      </w:numPr>
      <w:spacing w:before="120" w:after="0" w:line="240" w:lineRule="auto"/>
      <w:outlineLvl w:val="1"/>
    </w:pPr>
    <w:rPr>
      <w:rFonts w:ascii="Arial" w:hAnsi="Arial"/>
      <w:b/>
      <w:sz w:val="24"/>
      <w:szCs w:val="20"/>
    </w:rPr>
  </w:style>
  <w:style w:type="paragraph" w:styleId="Heading3">
    <w:name w:val="heading 3"/>
    <w:basedOn w:val="Heading2"/>
    <w:next w:val="BodyText1"/>
    <w:link w:val="Heading3Char"/>
    <w:qFormat/>
    <w:rsid w:val="000D5BA3"/>
    <w:pPr>
      <w:numPr>
        <w:ilvl w:val="2"/>
      </w:numPr>
      <w:outlineLvl w:val="2"/>
    </w:pPr>
    <w:rPr>
      <w:sz w:val="20"/>
    </w:rPr>
  </w:style>
  <w:style w:type="paragraph" w:styleId="Heading4">
    <w:name w:val="heading 4"/>
    <w:basedOn w:val="Normal"/>
    <w:next w:val="Normal"/>
    <w:link w:val="Heading4Char"/>
    <w:qFormat/>
    <w:rsid w:val="000D5BA3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5BA3"/>
    <w:rPr>
      <w:rFonts w:ascii="Arial" w:eastAsia="Times New Roman" w:hAnsi="Arial" w:cs="Calibri"/>
      <w:b/>
      <w:sz w:val="2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0D5BA3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rsid w:val="000D5BA3"/>
    <w:rPr>
      <w:rFonts w:ascii="Arial" w:eastAsia="Times New Roman" w:hAnsi="Arial" w:cs="Calibri"/>
      <w:b/>
      <w:sz w:val="20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rsid w:val="000D5BA3"/>
    <w:rPr>
      <w:rFonts w:ascii="Cambria" w:eastAsia="Times New Roman" w:hAnsi="Cambria" w:cs="Calibri"/>
      <w:b/>
      <w:bCs/>
      <w:i/>
      <w:iCs/>
      <w:color w:val="4F81BD"/>
      <w:lang w:eastAsia="ar-SA"/>
    </w:rPr>
  </w:style>
  <w:style w:type="paragraph" w:styleId="BodyText">
    <w:name w:val="Body Text"/>
    <w:basedOn w:val="Normal"/>
    <w:link w:val="BodyTextChar"/>
    <w:rsid w:val="000D5B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5BA3"/>
    <w:rPr>
      <w:rFonts w:ascii="Calibri" w:eastAsia="Times New Roman" w:hAnsi="Calibri" w:cs="Calibri"/>
      <w:lang w:eastAsia="ar-SA"/>
    </w:rPr>
  </w:style>
  <w:style w:type="paragraph" w:customStyle="1" w:styleId="BodyText1">
    <w:name w:val="Body Text1"/>
    <w:basedOn w:val="Normal"/>
    <w:rsid w:val="000D5BA3"/>
    <w:pPr>
      <w:spacing w:after="0" w:line="240" w:lineRule="auto"/>
      <w:jc w:val="both"/>
    </w:pPr>
    <w:rPr>
      <w:rFonts w:ascii="Arial" w:hAnsi="Arial"/>
      <w:sz w:val="20"/>
      <w:szCs w:val="20"/>
    </w:rPr>
  </w:style>
  <w:style w:type="paragraph" w:customStyle="1" w:styleId="itemise">
    <w:name w:val="itemise"/>
    <w:basedOn w:val="Normal"/>
    <w:rsid w:val="000D5BA3"/>
    <w:pPr>
      <w:spacing w:after="0" w:line="240" w:lineRule="auto"/>
      <w:ind w:left="567" w:hanging="567"/>
      <w:jc w:val="both"/>
    </w:pPr>
    <w:rPr>
      <w:rFonts w:ascii="Arial" w:hAnsi="Arial"/>
      <w:sz w:val="20"/>
      <w:szCs w:val="20"/>
    </w:rPr>
  </w:style>
  <w:style w:type="paragraph" w:styleId="ListParagraph">
    <w:name w:val="List Paragraph"/>
    <w:basedOn w:val="Normal"/>
    <w:qFormat/>
    <w:rsid w:val="000D5BA3"/>
    <w:pPr>
      <w:ind w:left="720"/>
      <w:contextualSpacing/>
    </w:pPr>
  </w:style>
  <w:style w:type="character" w:styleId="Hyperlink">
    <w:name w:val="Hyperlink"/>
    <w:rsid w:val="0016589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001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F10"/>
    <w:rPr>
      <w:rFonts w:ascii="Calibri" w:eastAsia="Times New Roman" w:hAnsi="Calibri" w:cs="Calibri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84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F10"/>
    <w:rPr>
      <w:rFonts w:ascii="Calibri" w:eastAsia="Times New Roman" w:hAnsi="Calibri" w:cs="Calibri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F1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0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4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5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ea.org/publications/freepublications/publication/kwe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consultations/consultation-on-the-draft-electricity-market-reform-delivery" TargetMode="External"/><Relationship Id="rId17" Type="http://schemas.openxmlformats.org/officeDocument/2006/relationships/hyperlink" Target="http://www.ukerc.ac.uk/support/tiki-index.php?page=Great+Expectations%3A+The+cost+of+offshore+wind+in+UK+wat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kerc.ac.uk/support/tiki-index.php?page=InvestingInPow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ukerc.ac.uk/support/tiki-index.php?page=Intermitten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kerc.ac.uk/support/tiki-index.php?page_ref_id=302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1F31F67A89248A320D3F27B8099D6" ma:contentTypeVersion="0" ma:contentTypeDescription="Create a new document." ma:contentTypeScope="" ma:versionID="95eb2e144520320873f5a76d2fe9eb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4B1555-46D3-4D10-8810-EBDC6DE1B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26281A-7EA9-412C-AD51-EB0614079CE2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05D1187-5E4B-4855-94A0-BDD54DD978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Alexandra J</dc:creator>
  <cp:lastModifiedBy>Williams, Alexandra J</cp:lastModifiedBy>
  <cp:revision>3</cp:revision>
  <dcterms:created xsi:type="dcterms:W3CDTF">2015-11-19T12:37:00Z</dcterms:created>
  <dcterms:modified xsi:type="dcterms:W3CDTF">2015-11-19T12:38:00Z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0x010100EF41F31F67A89248A320D3F27B8099D6</vt:lpwstr>
  </property>
</Properties>
</file>