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4EA" w:rsidRDefault="000014EA" w:rsidP="000014EA">
      <w:pPr>
        <w:pStyle w:val="Heading1"/>
      </w:pPr>
      <w:r>
        <w:t>CI9.S.2.5 Innovation and Entrepreneurship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272"/>
        <w:gridCol w:w="6970"/>
      </w:tblGrid>
      <w:tr w:rsidR="000014EA" w:rsidTr="000014EA">
        <w:tc>
          <w:tcPr>
            <w:tcW w:w="1229" w:type="pct"/>
            <w:tcBorders>
              <w:top w:val="single" w:sz="48" w:space="0" w:color="27849A"/>
              <w:left w:val="nil"/>
              <w:bottom w:val="single" w:sz="12" w:space="0" w:color="27849A"/>
              <w:right w:val="nil"/>
            </w:tcBorders>
            <w:hideMark/>
          </w:tcPr>
          <w:p w:rsidR="000014EA" w:rsidRDefault="000014EA">
            <w:pPr>
              <w:pStyle w:val="BodyText1"/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Course leader:</w:t>
            </w:r>
          </w:p>
        </w:tc>
        <w:tc>
          <w:tcPr>
            <w:tcW w:w="3771" w:type="pct"/>
            <w:tcBorders>
              <w:top w:val="single" w:sz="48" w:space="0" w:color="27849A"/>
              <w:left w:val="nil"/>
              <w:bottom w:val="single" w:sz="12" w:space="0" w:color="27849A"/>
              <w:right w:val="nil"/>
            </w:tcBorders>
            <w:hideMark/>
          </w:tcPr>
          <w:p w:rsidR="000014EA" w:rsidRDefault="006B40CA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Professor </w:t>
            </w:r>
            <w:r>
              <w:rPr>
                <w:rFonts w:cs="Arial"/>
              </w:rPr>
              <w:t>Andrew Davies</w:t>
            </w:r>
          </w:p>
        </w:tc>
      </w:tr>
      <w:tr w:rsidR="000014EA" w:rsidTr="000014EA">
        <w:tc>
          <w:tcPr>
            <w:tcW w:w="1229" w:type="pct"/>
            <w:tcBorders>
              <w:top w:val="single" w:sz="12" w:space="0" w:color="27849A"/>
              <w:left w:val="nil"/>
              <w:bottom w:val="single" w:sz="12" w:space="0" w:color="27849A"/>
              <w:right w:val="nil"/>
            </w:tcBorders>
            <w:hideMark/>
          </w:tcPr>
          <w:p w:rsidR="000014EA" w:rsidRDefault="000014EA">
            <w:pPr>
              <w:pStyle w:val="BodyText1"/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contributors:</w:t>
            </w:r>
          </w:p>
        </w:tc>
        <w:tc>
          <w:tcPr>
            <w:tcW w:w="3771" w:type="pct"/>
            <w:tcBorders>
              <w:top w:val="single" w:sz="12" w:space="0" w:color="27849A"/>
              <w:left w:val="nil"/>
              <w:bottom w:val="single" w:sz="12" w:space="0" w:color="27849A"/>
              <w:right w:val="nil"/>
            </w:tcBorders>
            <w:hideMark/>
          </w:tcPr>
          <w:p w:rsidR="000014EA" w:rsidRDefault="000014EA" w:rsidP="006B40CA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Mr Eric Woodcock</w:t>
            </w:r>
            <w:r w:rsidR="006B40CA">
              <w:rPr>
                <w:rFonts w:cs="Arial"/>
              </w:rPr>
              <w:t xml:space="preserve">, Professor Tim Brady, </w:t>
            </w:r>
            <w:r w:rsidR="00792321">
              <w:rPr>
                <w:rFonts w:cs="Arial"/>
              </w:rPr>
              <w:t>Dr Nick Leon</w:t>
            </w:r>
            <w:bookmarkStart w:id="0" w:name="_GoBack"/>
            <w:bookmarkEnd w:id="0"/>
          </w:p>
        </w:tc>
      </w:tr>
      <w:tr w:rsidR="000014EA" w:rsidTr="000014EA">
        <w:tc>
          <w:tcPr>
            <w:tcW w:w="1229" w:type="pct"/>
            <w:tcBorders>
              <w:top w:val="single" w:sz="12" w:space="0" w:color="27849A"/>
              <w:left w:val="nil"/>
              <w:bottom w:val="single" w:sz="12" w:space="0" w:color="27849A"/>
              <w:right w:val="nil"/>
            </w:tcBorders>
            <w:hideMark/>
          </w:tcPr>
          <w:p w:rsidR="000014EA" w:rsidRDefault="000014EA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Term:</w:t>
            </w:r>
          </w:p>
        </w:tc>
        <w:tc>
          <w:tcPr>
            <w:tcW w:w="3771" w:type="pct"/>
            <w:tcBorders>
              <w:top w:val="single" w:sz="12" w:space="0" w:color="27849A"/>
              <w:left w:val="nil"/>
              <w:bottom w:val="single" w:sz="12" w:space="0" w:color="27849A"/>
              <w:right w:val="nil"/>
            </w:tcBorders>
            <w:hideMark/>
          </w:tcPr>
          <w:p w:rsidR="000014EA" w:rsidRDefault="000014EA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Summer </w:t>
            </w:r>
          </w:p>
        </w:tc>
      </w:tr>
      <w:tr w:rsidR="000014EA" w:rsidTr="000014EA">
        <w:tc>
          <w:tcPr>
            <w:tcW w:w="1229" w:type="pct"/>
            <w:tcBorders>
              <w:top w:val="single" w:sz="12" w:space="0" w:color="27849A"/>
              <w:left w:val="nil"/>
              <w:bottom w:val="single" w:sz="12" w:space="0" w:color="27849A"/>
              <w:right w:val="nil"/>
            </w:tcBorders>
            <w:hideMark/>
          </w:tcPr>
          <w:p w:rsidR="000014EA" w:rsidRDefault="000014EA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Contact hours:</w:t>
            </w:r>
          </w:p>
        </w:tc>
        <w:tc>
          <w:tcPr>
            <w:tcW w:w="3771" w:type="pct"/>
            <w:tcBorders>
              <w:top w:val="single" w:sz="12" w:space="0" w:color="27849A"/>
              <w:left w:val="nil"/>
              <w:bottom w:val="single" w:sz="12" w:space="0" w:color="27849A"/>
              <w:right w:val="nil"/>
            </w:tcBorders>
            <w:hideMark/>
          </w:tcPr>
          <w:p w:rsidR="000014EA" w:rsidRDefault="000014EA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</w:tr>
      <w:tr w:rsidR="000014EA" w:rsidTr="000014EA">
        <w:tc>
          <w:tcPr>
            <w:tcW w:w="1229" w:type="pct"/>
            <w:tcBorders>
              <w:top w:val="single" w:sz="12" w:space="0" w:color="27849A"/>
              <w:left w:val="nil"/>
              <w:bottom w:val="single" w:sz="12" w:space="0" w:color="27849A"/>
              <w:right w:val="nil"/>
            </w:tcBorders>
          </w:tcPr>
          <w:p w:rsidR="000014EA" w:rsidRDefault="000014EA">
            <w:pPr>
              <w:pStyle w:val="BodyText1"/>
              <w:spacing w:line="276" w:lineRule="auto"/>
              <w:rPr>
                <w:rFonts w:cs="Arial"/>
              </w:rPr>
            </w:pPr>
          </w:p>
        </w:tc>
        <w:tc>
          <w:tcPr>
            <w:tcW w:w="3771" w:type="pct"/>
            <w:tcBorders>
              <w:top w:val="single" w:sz="12" w:space="0" w:color="27849A"/>
              <w:left w:val="nil"/>
              <w:bottom w:val="single" w:sz="12" w:space="0" w:color="27849A"/>
              <w:right w:val="nil"/>
            </w:tcBorders>
          </w:tcPr>
          <w:p w:rsidR="000014EA" w:rsidRDefault="000014EA">
            <w:pPr>
              <w:pStyle w:val="BodyText1"/>
              <w:spacing w:line="276" w:lineRule="auto"/>
              <w:rPr>
                <w:rFonts w:cs="Arial"/>
              </w:rPr>
            </w:pPr>
          </w:p>
        </w:tc>
      </w:tr>
    </w:tbl>
    <w:p w:rsidR="000014EA" w:rsidRDefault="000014EA" w:rsidP="000014EA">
      <w:pPr>
        <w:spacing w:after="0"/>
        <w:ind w:left="591" w:hanging="576"/>
        <w:jc w:val="both"/>
        <w:rPr>
          <w:rFonts w:ascii="Arial" w:hAnsi="Arial" w:cs="Arial"/>
          <w:b/>
          <w:sz w:val="20"/>
          <w:szCs w:val="20"/>
        </w:rPr>
      </w:pPr>
    </w:p>
    <w:p w:rsidR="000014EA" w:rsidRDefault="000014EA" w:rsidP="000014EA">
      <w:pPr>
        <w:pStyle w:val="Heading2"/>
      </w:pPr>
      <w:r>
        <w:t>1.0</w:t>
      </w:r>
      <w:r>
        <w:tab/>
        <w:t xml:space="preserve">Aims </w:t>
      </w:r>
    </w:p>
    <w:p w:rsidR="000014EA" w:rsidRDefault="000014EA" w:rsidP="000014EA">
      <w:pPr>
        <w:spacing w:after="0"/>
        <w:ind w:left="585"/>
        <w:jc w:val="both"/>
        <w:rPr>
          <w:rFonts w:ascii="Arial" w:hAnsi="Arial" w:cs="Arial"/>
          <w:b/>
          <w:sz w:val="20"/>
          <w:szCs w:val="20"/>
        </w:rPr>
      </w:pPr>
    </w:p>
    <w:p w:rsidR="000014EA" w:rsidRDefault="0003779D" w:rsidP="000014EA">
      <w:pPr>
        <w:pStyle w:val="itemise"/>
        <w:ind w:left="0" w:firstLine="0"/>
        <w:rPr>
          <w:rFonts w:cs="Arial"/>
        </w:rPr>
      </w:pPr>
      <w:r>
        <w:rPr>
          <w:rFonts w:cs="Arial"/>
        </w:rPr>
        <w:t>This module aims to introduce the student to the need for appropriate management strategies for n</w:t>
      </w:r>
      <w:r w:rsidR="000014EA">
        <w:rPr>
          <w:rFonts w:cs="Arial"/>
        </w:rPr>
        <w:t>ew systems technologies in M&amp;E services. This module accompanies the dissertation project.</w:t>
      </w:r>
    </w:p>
    <w:p w:rsidR="000014EA" w:rsidRDefault="000014EA" w:rsidP="000014EA">
      <w:pPr>
        <w:pStyle w:val="itemise"/>
        <w:ind w:left="0" w:firstLine="0"/>
        <w:rPr>
          <w:rFonts w:cs="Arial"/>
        </w:rPr>
      </w:pPr>
    </w:p>
    <w:p w:rsidR="0047305D" w:rsidRDefault="000014EA" w:rsidP="0047305D">
      <w:pPr>
        <w:pStyle w:val="Heading2"/>
      </w:pPr>
      <w:r>
        <w:t>2.0</w:t>
      </w:r>
      <w:r>
        <w:tab/>
      </w:r>
      <w:r w:rsidR="0047305D">
        <w:t>Syllabus</w:t>
      </w:r>
    </w:p>
    <w:p w:rsidR="0047305D" w:rsidRDefault="0047305D" w:rsidP="0047305D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47305D" w:rsidRDefault="0047305D" w:rsidP="0047305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course consists of workshops run alongside the Master’s thesis</w:t>
      </w:r>
    </w:p>
    <w:p w:rsidR="000014EA" w:rsidRPr="0047305D" w:rsidRDefault="0047305D" w:rsidP="0047305D">
      <w:pPr>
        <w:pStyle w:val="Heading2"/>
        <w:rPr>
          <w:rFonts w:cs="Arial"/>
          <w:sz w:val="20"/>
        </w:rPr>
      </w:pPr>
      <w:r>
        <w:t>3.0</w:t>
      </w:r>
      <w:r>
        <w:tab/>
      </w:r>
      <w:r w:rsidR="000014EA">
        <w:t>Intended learning outcomes</w:t>
      </w:r>
    </w:p>
    <w:p w:rsidR="0003779D" w:rsidRPr="0003779D" w:rsidRDefault="0003779D" w:rsidP="0003779D">
      <w:pPr>
        <w:pStyle w:val="BodyText1"/>
      </w:pPr>
    </w:p>
    <w:p w:rsidR="000014EA" w:rsidRDefault="0003779D" w:rsidP="000014EA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t</w:t>
      </w:r>
      <w:r w:rsidR="000014EA">
        <w:rPr>
          <w:rFonts w:ascii="Arial" w:hAnsi="Arial" w:cs="Arial"/>
          <w:sz w:val="20"/>
          <w:szCs w:val="20"/>
        </w:rPr>
        <w:t>he basic principles of successful innovation management</w:t>
      </w:r>
    </w:p>
    <w:p w:rsidR="000014EA" w:rsidRDefault="0003779D" w:rsidP="000014EA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ability to d</w:t>
      </w:r>
      <w:r w:rsidR="000014EA">
        <w:rPr>
          <w:rFonts w:ascii="Arial" w:hAnsi="Arial" w:cs="Arial"/>
          <w:sz w:val="20"/>
          <w:szCs w:val="20"/>
        </w:rPr>
        <w:t>elivering change in a technical organisation</w:t>
      </w:r>
    </w:p>
    <w:p w:rsidR="000014EA" w:rsidRDefault="0003779D" w:rsidP="000014EA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understanding of how to d</w:t>
      </w:r>
      <w:r w:rsidR="000014EA">
        <w:rPr>
          <w:rFonts w:ascii="Arial" w:hAnsi="Arial" w:cs="Arial"/>
          <w:sz w:val="20"/>
          <w:szCs w:val="20"/>
        </w:rPr>
        <w:t>eploy innovation in design</w:t>
      </w:r>
    </w:p>
    <w:p w:rsidR="000014EA" w:rsidRDefault="0003779D" w:rsidP="000014EA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understanding of h</w:t>
      </w:r>
      <w:r w:rsidR="000014EA">
        <w:rPr>
          <w:rFonts w:ascii="Arial" w:hAnsi="Arial" w:cs="Arial"/>
          <w:sz w:val="20"/>
          <w:szCs w:val="20"/>
        </w:rPr>
        <w:t>ow innovation can be seen as a system</w:t>
      </w:r>
    </w:p>
    <w:p w:rsidR="000014EA" w:rsidRDefault="000014EA" w:rsidP="000014EA">
      <w:pPr>
        <w:pStyle w:val="BodyText1"/>
        <w:spacing w:line="276" w:lineRule="auto"/>
        <w:ind w:firstLine="567"/>
        <w:rPr>
          <w:rFonts w:cs="Arial"/>
        </w:rPr>
      </w:pPr>
    </w:p>
    <w:p w:rsidR="000014EA" w:rsidRDefault="000014EA" w:rsidP="000014EA">
      <w:pPr>
        <w:pStyle w:val="Heading2"/>
      </w:pPr>
      <w:r>
        <w:t xml:space="preserve">4.0 </w:t>
      </w:r>
      <w:r>
        <w:tab/>
      </w:r>
      <w:r w:rsidR="0047305D">
        <w:t>Assessment</w:t>
      </w:r>
    </w:p>
    <w:p w:rsidR="0047305D" w:rsidRDefault="0047305D" w:rsidP="0047305D">
      <w:pPr>
        <w:pStyle w:val="BodyText1"/>
      </w:pPr>
    </w:p>
    <w:p w:rsidR="0047305D" w:rsidRPr="00055AB8" w:rsidRDefault="0047305D" w:rsidP="0047305D">
      <w:pPr>
        <w:numPr>
          <w:ilvl w:val="0"/>
          <w:numId w:val="4"/>
        </w:numPr>
        <w:spacing w:after="0"/>
        <w:jc w:val="both"/>
        <w:rPr>
          <w:sz w:val="20"/>
        </w:rPr>
      </w:pPr>
      <w:r w:rsidRPr="00055AB8">
        <w:rPr>
          <w:rFonts w:ascii="Arial" w:hAnsi="Arial" w:cs="Arial"/>
          <w:sz w:val="20"/>
          <w:szCs w:val="20"/>
        </w:rPr>
        <w:t>Assessment of this module is in the form of progress tests usually g</w:t>
      </w:r>
      <w:r>
        <w:rPr>
          <w:rFonts w:ascii="Arial" w:hAnsi="Arial" w:cs="Arial"/>
          <w:sz w:val="20"/>
          <w:szCs w:val="20"/>
        </w:rPr>
        <w:t xml:space="preserve">iven as in class group work and </w:t>
      </w:r>
      <w:r w:rsidRPr="00055AB8">
        <w:rPr>
          <w:rFonts w:ascii="Arial" w:hAnsi="Arial" w:cs="Arial"/>
          <w:sz w:val="20"/>
          <w:szCs w:val="20"/>
        </w:rPr>
        <w:t xml:space="preserve">individual </w:t>
      </w:r>
      <w:r>
        <w:rPr>
          <w:rFonts w:ascii="Arial" w:hAnsi="Arial" w:cs="Arial"/>
          <w:sz w:val="20"/>
          <w:szCs w:val="20"/>
        </w:rPr>
        <w:t>exercises and presentations.</w:t>
      </w:r>
    </w:p>
    <w:p w:rsidR="0047305D" w:rsidRDefault="0047305D" w:rsidP="0047305D">
      <w:pPr>
        <w:pStyle w:val="BodyText1"/>
      </w:pPr>
    </w:p>
    <w:p w:rsidR="0047305D" w:rsidRPr="000A279F" w:rsidRDefault="0047305D" w:rsidP="0047305D">
      <w:pPr>
        <w:pStyle w:val="Heading2"/>
        <w:numPr>
          <w:ilvl w:val="1"/>
          <w:numId w:val="5"/>
        </w:numPr>
      </w:pPr>
      <w:r>
        <w:t>5.0</w:t>
      </w:r>
      <w:r>
        <w:tab/>
      </w:r>
      <w:r w:rsidRPr="000A279F">
        <w:t xml:space="preserve">Recommended </w:t>
      </w:r>
      <w:r>
        <w:t>reading</w:t>
      </w:r>
    </w:p>
    <w:p w:rsidR="0047305D" w:rsidRPr="003B544A" w:rsidRDefault="0047305D" w:rsidP="0047305D">
      <w:pPr>
        <w:pStyle w:val="BodyText1"/>
        <w:tabs>
          <w:tab w:val="num" w:pos="0"/>
        </w:tabs>
        <w:spacing w:line="276" w:lineRule="auto"/>
        <w:rPr>
          <w:rFonts w:asciiTheme="minorHAnsi" w:hAnsiTheme="minorHAnsi" w:cstheme="minorHAnsi"/>
        </w:rPr>
      </w:pPr>
    </w:p>
    <w:p w:rsidR="0047305D" w:rsidRPr="003B544A" w:rsidRDefault="0047305D" w:rsidP="0047305D">
      <w:pPr>
        <w:pStyle w:val="BodyText1"/>
        <w:tabs>
          <w:tab w:val="num" w:pos="0"/>
        </w:tabs>
        <w:spacing w:line="276" w:lineRule="auto"/>
        <w:rPr>
          <w:rFonts w:asciiTheme="minorHAnsi" w:hAnsiTheme="minorHAnsi" w:cstheme="minorHAnsi"/>
        </w:rPr>
      </w:pPr>
      <w:r w:rsidRPr="003B544A">
        <w:rPr>
          <w:rFonts w:asciiTheme="minorHAnsi" w:hAnsiTheme="minorHAnsi" w:cstheme="minorHAnsi"/>
        </w:rPr>
        <w:t>C = Core, S = Supplementary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326"/>
      </w:tblGrid>
      <w:tr w:rsidR="0047305D" w:rsidRPr="003B544A" w:rsidTr="00534041">
        <w:tc>
          <w:tcPr>
            <w:tcW w:w="808" w:type="dxa"/>
          </w:tcPr>
          <w:p w:rsidR="0047305D" w:rsidRPr="003B544A" w:rsidRDefault="0047305D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47305D" w:rsidRPr="0047305D" w:rsidRDefault="0047305D" w:rsidP="0047305D">
            <w:pPr>
              <w:suppressAutoHyphens w:val="0"/>
              <w:spacing w:before="100" w:beforeAutospacing="1" w:after="100" w:afterAutospacing="1" w:line="240" w:lineRule="auto"/>
              <w:ind w:left="36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Flyvberg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, B. (2005) </w:t>
            </w:r>
            <w:r>
              <w:rPr>
                <w:rFonts w:ascii="Arial" w:eastAsiaTheme="minorHAnsi" w:hAnsi="Arial" w:cs="Arial"/>
                <w:i/>
                <w:color w:val="000000"/>
                <w:sz w:val="20"/>
                <w:szCs w:val="20"/>
              </w:rPr>
              <w:t xml:space="preserve">Design by Deception – The Politics of Megaproject Approval,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[Online], Harvard Design Magazine, Available from: </w:t>
            </w:r>
            <w:hyperlink r:id="rId11" w:history="1">
              <w:r>
                <w:rPr>
                  <w:rStyle w:val="Hyperlink"/>
                  <w:rFonts w:eastAsiaTheme="minorHAnsi" w:cs="Arial"/>
                  <w:sz w:val="20"/>
                </w:rPr>
                <w:t>http://flyvbjerg.plan.aau.dk/HARVARDDESIGN63PRINT.pdf</w:t>
              </w:r>
            </w:hyperlink>
          </w:p>
        </w:tc>
      </w:tr>
      <w:tr w:rsidR="0047305D" w:rsidRPr="003B544A" w:rsidTr="00534041">
        <w:tc>
          <w:tcPr>
            <w:tcW w:w="808" w:type="dxa"/>
          </w:tcPr>
          <w:p w:rsidR="0047305D" w:rsidRDefault="0047305D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47305D" w:rsidRPr="0047305D" w:rsidRDefault="0047305D" w:rsidP="0047305D">
            <w:pPr>
              <w:suppressAutoHyphens w:val="0"/>
              <w:spacing w:before="100" w:beforeAutospacing="1" w:after="100" w:afterAutospacing="1" w:line="240" w:lineRule="auto"/>
              <w:ind w:left="36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Shenhar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, A.J. and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Dvir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, D. (2007),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  <w:t xml:space="preserve">Reinventing Project Management: The Diamond Approach to Successful Growth and Innovation, 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Boston, Mass: Harvard Business School Press.</w:t>
            </w:r>
          </w:p>
        </w:tc>
      </w:tr>
      <w:tr w:rsidR="0047305D" w:rsidRPr="003B544A" w:rsidTr="00534041">
        <w:tc>
          <w:tcPr>
            <w:tcW w:w="808" w:type="dxa"/>
          </w:tcPr>
          <w:p w:rsidR="0047305D" w:rsidRDefault="0047305D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47305D" w:rsidRPr="0047305D" w:rsidRDefault="0047305D" w:rsidP="0047305D">
            <w:pPr>
              <w:suppressAutoHyphens w:val="0"/>
              <w:spacing w:before="100" w:beforeAutospacing="1" w:after="100" w:afterAutospacing="1" w:line="240" w:lineRule="auto"/>
              <w:ind w:left="36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Dvir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, D. and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Shenhar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, A.J. (2011), What great projects have in common’,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  <w:t>MIT Sloan Management Review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, Spring 2011, Vol. 52, No. 3, 19-21. </w:t>
            </w:r>
          </w:p>
        </w:tc>
      </w:tr>
      <w:tr w:rsidR="0047305D" w:rsidRPr="003B544A" w:rsidTr="00534041">
        <w:tc>
          <w:tcPr>
            <w:tcW w:w="808" w:type="dxa"/>
          </w:tcPr>
          <w:p w:rsidR="0047305D" w:rsidRDefault="0047305D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326" w:type="dxa"/>
          </w:tcPr>
          <w:p w:rsidR="0047305D" w:rsidRDefault="0047305D" w:rsidP="0047305D">
            <w:pPr>
              <w:suppressAutoHyphens w:val="0"/>
              <w:spacing w:before="100" w:beforeAutospacing="1" w:after="100" w:afterAutospacing="1" w:line="240" w:lineRule="auto"/>
              <w:ind w:left="36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Gann, D., Slater, A., Dodgson, M. and Phillips, N. (2012). ‘Inside the world of the project baron’,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  <w:t>MIT Sloan Management Review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, Vol. 53, No. 3, 63-71. </w:t>
            </w:r>
          </w:p>
        </w:tc>
      </w:tr>
      <w:tr w:rsidR="0047305D" w:rsidRPr="003B544A" w:rsidTr="00534041">
        <w:tc>
          <w:tcPr>
            <w:tcW w:w="808" w:type="dxa"/>
          </w:tcPr>
          <w:p w:rsidR="0047305D" w:rsidRDefault="0047305D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47305D" w:rsidRPr="0047305D" w:rsidRDefault="0047305D" w:rsidP="0047305D">
            <w:pPr>
              <w:suppressAutoHyphens w:val="0"/>
              <w:spacing w:before="100" w:beforeAutospacing="1" w:after="100" w:afterAutospacing="1" w:line="240" w:lineRule="auto"/>
              <w:ind w:left="36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De Meyer, A., Loch, C. H. and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Pich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, M. T. (2002). ‘Managing project uncertainty: from variation to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chaos’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  <w:t>MIT Sloan Management Review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, Winter 2002, 60-67.</w:t>
            </w:r>
          </w:p>
        </w:tc>
      </w:tr>
      <w:tr w:rsidR="0047305D" w:rsidRPr="003B544A" w:rsidTr="00534041">
        <w:tc>
          <w:tcPr>
            <w:tcW w:w="808" w:type="dxa"/>
          </w:tcPr>
          <w:p w:rsidR="0047305D" w:rsidRDefault="0047305D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47305D" w:rsidRDefault="0047305D" w:rsidP="0047305D">
            <w:pPr>
              <w:suppressAutoHyphens w:val="0"/>
              <w:spacing w:before="100" w:beforeAutospacing="1" w:after="100" w:afterAutospacing="1" w:line="240" w:lineRule="auto"/>
              <w:ind w:left="360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 xml:space="preserve">Davies, A., Gann, D. and Douglas, T. (2009). ‘Innovation in Megaprojects: Systems Integration at London Heathrow Terminal 5’, </w:t>
            </w: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</w:rPr>
              <w:t>California Management Review</w:t>
            </w:r>
            <w:r>
              <w:rPr>
                <w:rFonts w:ascii="Arial" w:eastAsiaTheme="minorHAnsi" w:hAnsi="Arial" w:cs="Arial"/>
                <w:color w:val="000000"/>
                <w:sz w:val="20"/>
                <w:szCs w:val="20"/>
              </w:rPr>
              <w:t>, Special Issue: ‘Infrastructure Privatization’, Vol. 51, No. 2, 101-125</w:t>
            </w:r>
          </w:p>
        </w:tc>
      </w:tr>
    </w:tbl>
    <w:p w:rsidR="00B34F68" w:rsidRPr="000014EA" w:rsidRDefault="00B34F68" w:rsidP="000014EA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34F68" w:rsidRPr="000014EA" w:rsidSect="0047305D">
      <w:headerReference w:type="default" r:id="rId12"/>
      <w:footerReference w:type="default" r:id="rId13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A7" w:rsidRDefault="00445DA7" w:rsidP="00007F54">
      <w:pPr>
        <w:spacing w:after="0" w:line="240" w:lineRule="auto"/>
      </w:pPr>
      <w:r>
        <w:separator/>
      </w:r>
    </w:p>
  </w:endnote>
  <w:endnote w:type="continuationSeparator" w:id="0">
    <w:p w:rsidR="00445DA7" w:rsidRDefault="00445DA7" w:rsidP="0000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3E" w:rsidRPr="00D42F81" w:rsidRDefault="00F0683E" w:rsidP="00F0683E">
    <w:pPr>
      <w:pStyle w:val="Footer"/>
      <w:shd w:val="clear" w:color="auto" w:fill="548DD4"/>
      <w:tabs>
        <w:tab w:val="clear" w:pos="4513"/>
        <w:tab w:val="clear" w:pos="9026"/>
        <w:tab w:val="left" w:pos="2670"/>
      </w:tabs>
      <w:rPr>
        <w:color w:val="FFFFFF"/>
      </w:rPr>
    </w:pPr>
    <w:r w:rsidRPr="00E93615">
      <w:rPr>
        <w:color w:val="FFFFFF"/>
      </w:rPr>
      <w:t xml:space="preserve">Revised: </w:t>
    </w:r>
    <w:r w:rsidR="0047305D">
      <w:rPr>
        <w:color w:val="FFFFFF"/>
      </w:rPr>
      <w:t>30/09/14</w:t>
    </w:r>
    <w:r>
      <w:rPr>
        <w:color w:val="FFFFF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A7" w:rsidRDefault="00445DA7" w:rsidP="00007F54">
      <w:pPr>
        <w:spacing w:after="0" w:line="240" w:lineRule="auto"/>
      </w:pPr>
      <w:r>
        <w:separator/>
      </w:r>
    </w:p>
  </w:footnote>
  <w:footnote w:type="continuationSeparator" w:id="0">
    <w:p w:rsidR="00445DA7" w:rsidRDefault="00445DA7" w:rsidP="0000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3E" w:rsidRDefault="00F0683E" w:rsidP="00F0683E">
    <w:r>
      <w:rPr>
        <w:noProof/>
        <w:lang w:eastAsia="en-GB"/>
      </w:rPr>
      <w:drawing>
        <wp:inline distT="0" distB="0" distL="0" distR="0" wp14:anchorId="1F69FECD" wp14:editId="4060B94B">
          <wp:extent cx="1600200" cy="419100"/>
          <wp:effectExtent l="19050" t="0" r="0" b="0"/>
          <wp:docPr id="1" name="Picture 1" descr="logo_imperial_college_lond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mperial_college_lond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683E" w:rsidRPr="00BA5754" w:rsidRDefault="00F0683E" w:rsidP="00F0683E">
    <w:pPr>
      <w:shd w:val="clear" w:color="auto" w:fill="17365D"/>
      <w:spacing w:after="0" w:line="240" w:lineRule="auto"/>
      <w:rPr>
        <w:color w:val="FFFFFF"/>
        <w:sz w:val="32"/>
      </w:rPr>
    </w:pPr>
    <w:r w:rsidRPr="00BA5754">
      <w:rPr>
        <w:color w:val="FFFFFF"/>
        <w:sz w:val="32"/>
      </w:rPr>
      <w:t xml:space="preserve">Department of </w:t>
    </w:r>
    <w:r>
      <w:rPr>
        <w:color w:val="FFFFFF"/>
        <w:sz w:val="32"/>
      </w:rPr>
      <w:t>Civil and Environmental Engineering</w:t>
    </w:r>
  </w:p>
  <w:p w:rsidR="00F0683E" w:rsidRDefault="00F0683E" w:rsidP="00F0683E">
    <w:pPr>
      <w:shd w:val="clear" w:color="auto" w:fill="17365D"/>
      <w:spacing w:after="0" w:line="240" w:lineRule="auto"/>
      <w:rPr>
        <w:color w:val="FFFFFF"/>
        <w:sz w:val="32"/>
      </w:rPr>
    </w:pPr>
    <w:r>
      <w:rPr>
        <w:color w:val="FFFFFF"/>
        <w:sz w:val="32"/>
      </w:rPr>
      <w:t>Module descriptor 2014-15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B880704"/>
    <w:multiLevelType w:val="multilevel"/>
    <w:tmpl w:val="BEDA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D5625"/>
    <w:multiLevelType w:val="multilevel"/>
    <w:tmpl w:val="2B28FD80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EA"/>
    <w:rsid w:val="000014EA"/>
    <w:rsid w:val="00007F54"/>
    <w:rsid w:val="0003779D"/>
    <w:rsid w:val="00445DA7"/>
    <w:rsid w:val="0047305D"/>
    <w:rsid w:val="006B40CA"/>
    <w:rsid w:val="00792321"/>
    <w:rsid w:val="00B34F68"/>
    <w:rsid w:val="00F0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EA"/>
    <w:pPr>
      <w:suppressAutoHyphens/>
    </w:pPr>
    <w:rPr>
      <w:rFonts w:ascii="Calibri" w:eastAsia="Times New Roman" w:hAnsi="Calibri" w:cs="Calibri"/>
      <w:lang w:eastAsia="ar-SA"/>
    </w:rPr>
  </w:style>
  <w:style w:type="paragraph" w:styleId="Heading1">
    <w:name w:val="heading 1"/>
    <w:basedOn w:val="Normal"/>
    <w:next w:val="BodyText1"/>
    <w:link w:val="Heading1Char"/>
    <w:qFormat/>
    <w:rsid w:val="000014EA"/>
    <w:pPr>
      <w:numPr>
        <w:numId w:val="1"/>
      </w:numPr>
      <w:spacing w:before="24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BodyText1"/>
    <w:link w:val="Heading2Char"/>
    <w:unhideWhenUsed/>
    <w:qFormat/>
    <w:rsid w:val="000014EA"/>
    <w:pPr>
      <w:numPr>
        <w:ilvl w:val="1"/>
        <w:numId w:val="1"/>
      </w:numPr>
      <w:spacing w:before="120" w:after="0" w:line="240" w:lineRule="auto"/>
      <w:outlineLvl w:val="1"/>
    </w:pPr>
    <w:rPr>
      <w:rFonts w:ascii="Arial" w:hAnsi="Arial"/>
      <w:b/>
      <w:sz w:val="24"/>
      <w:szCs w:val="20"/>
    </w:rPr>
  </w:style>
  <w:style w:type="paragraph" w:styleId="Heading3">
    <w:name w:val="heading 3"/>
    <w:basedOn w:val="Heading2"/>
    <w:next w:val="BodyText1"/>
    <w:link w:val="Heading3Char"/>
    <w:unhideWhenUsed/>
    <w:qFormat/>
    <w:rsid w:val="000014EA"/>
    <w:pPr>
      <w:numPr>
        <w:ilvl w:val="2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0014E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4EA"/>
    <w:rPr>
      <w:rFonts w:ascii="Arial" w:eastAsia="Times New Roman" w:hAnsi="Arial" w:cs="Calibri"/>
      <w:b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0014EA"/>
    <w:rPr>
      <w:rFonts w:ascii="Arial" w:eastAsia="Times New Roman" w:hAnsi="Arial" w:cs="Calibri"/>
      <w:b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0014EA"/>
    <w:rPr>
      <w:rFonts w:ascii="Arial" w:eastAsia="Times New Roman" w:hAnsi="Arial" w:cs="Calibri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semiHidden/>
    <w:rsid w:val="000014EA"/>
    <w:rPr>
      <w:rFonts w:ascii="Cambria" w:eastAsia="Times New Roman" w:hAnsi="Cambria" w:cs="Calibri"/>
      <w:b/>
      <w:bCs/>
      <w:i/>
      <w:iCs/>
      <w:color w:val="4F81BD"/>
      <w:lang w:eastAsia="ar-SA"/>
    </w:rPr>
  </w:style>
  <w:style w:type="character" w:styleId="Hyperlink">
    <w:name w:val="Hyperlink"/>
    <w:basedOn w:val="DefaultParagraphFont"/>
    <w:semiHidden/>
    <w:unhideWhenUsed/>
    <w:rsid w:val="000014EA"/>
    <w:rPr>
      <w:color w:val="0000FF" w:themeColor="hyperlink"/>
      <w:u w:val="single"/>
    </w:rPr>
  </w:style>
  <w:style w:type="paragraph" w:customStyle="1" w:styleId="BodyText1">
    <w:name w:val="Body Text1"/>
    <w:basedOn w:val="Normal"/>
    <w:rsid w:val="000014EA"/>
    <w:pPr>
      <w:spacing w:after="0" w:line="240" w:lineRule="auto"/>
      <w:jc w:val="both"/>
    </w:pPr>
    <w:rPr>
      <w:rFonts w:ascii="Arial" w:hAnsi="Arial"/>
      <w:sz w:val="20"/>
      <w:szCs w:val="20"/>
    </w:rPr>
  </w:style>
  <w:style w:type="paragraph" w:customStyle="1" w:styleId="itemise">
    <w:name w:val="itemise"/>
    <w:basedOn w:val="Normal"/>
    <w:rsid w:val="000014EA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7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F54"/>
    <w:rPr>
      <w:rFonts w:ascii="Calibri" w:eastAsia="Times New Roman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07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F54"/>
    <w:rPr>
      <w:rFonts w:ascii="Calibri" w:eastAsia="Times New Roman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5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EA"/>
    <w:pPr>
      <w:suppressAutoHyphens/>
    </w:pPr>
    <w:rPr>
      <w:rFonts w:ascii="Calibri" w:eastAsia="Times New Roman" w:hAnsi="Calibri" w:cs="Calibri"/>
      <w:lang w:eastAsia="ar-SA"/>
    </w:rPr>
  </w:style>
  <w:style w:type="paragraph" w:styleId="Heading1">
    <w:name w:val="heading 1"/>
    <w:basedOn w:val="Normal"/>
    <w:next w:val="BodyText1"/>
    <w:link w:val="Heading1Char"/>
    <w:qFormat/>
    <w:rsid w:val="000014EA"/>
    <w:pPr>
      <w:numPr>
        <w:numId w:val="1"/>
      </w:numPr>
      <w:spacing w:before="24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BodyText1"/>
    <w:link w:val="Heading2Char"/>
    <w:unhideWhenUsed/>
    <w:qFormat/>
    <w:rsid w:val="000014EA"/>
    <w:pPr>
      <w:numPr>
        <w:ilvl w:val="1"/>
        <w:numId w:val="1"/>
      </w:numPr>
      <w:spacing w:before="120" w:after="0" w:line="240" w:lineRule="auto"/>
      <w:outlineLvl w:val="1"/>
    </w:pPr>
    <w:rPr>
      <w:rFonts w:ascii="Arial" w:hAnsi="Arial"/>
      <w:b/>
      <w:sz w:val="24"/>
      <w:szCs w:val="20"/>
    </w:rPr>
  </w:style>
  <w:style w:type="paragraph" w:styleId="Heading3">
    <w:name w:val="heading 3"/>
    <w:basedOn w:val="Heading2"/>
    <w:next w:val="BodyText1"/>
    <w:link w:val="Heading3Char"/>
    <w:unhideWhenUsed/>
    <w:qFormat/>
    <w:rsid w:val="000014EA"/>
    <w:pPr>
      <w:numPr>
        <w:ilvl w:val="2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0014E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4EA"/>
    <w:rPr>
      <w:rFonts w:ascii="Arial" w:eastAsia="Times New Roman" w:hAnsi="Arial" w:cs="Calibri"/>
      <w:b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0014EA"/>
    <w:rPr>
      <w:rFonts w:ascii="Arial" w:eastAsia="Times New Roman" w:hAnsi="Arial" w:cs="Calibri"/>
      <w:b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0014EA"/>
    <w:rPr>
      <w:rFonts w:ascii="Arial" w:eastAsia="Times New Roman" w:hAnsi="Arial" w:cs="Calibri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semiHidden/>
    <w:rsid w:val="000014EA"/>
    <w:rPr>
      <w:rFonts w:ascii="Cambria" w:eastAsia="Times New Roman" w:hAnsi="Cambria" w:cs="Calibri"/>
      <w:b/>
      <w:bCs/>
      <w:i/>
      <w:iCs/>
      <w:color w:val="4F81BD"/>
      <w:lang w:eastAsia="ar-SA"/>
    </w:rPr>
  </w:style>
  <w:style w:type="character" w:styleId="Hyperlink">
    <w:name w:val="Hyperlink"/>
    <w:basedOn w:val="DefaultParagraphFont"/>
    <w:semiHidden/>
    <w:unhideWhenUsed/>
    <w:rsid w:val="000014EA"/>
    <w:rPr>
      <w:color w:val="0000FF" w:themeColor="hyperlink"/>
      <w:u w:val="single"/>
    </w:rPr>
  </w:style>
  <w:style w:type="paragraph" w:customStyle="1" w:styleId="BodyText1">
    <w:name w:val="Body Text1"/>
    <w:basedOn w:val="Normal"/>
    <w:rsid w:val="000014EA"/>
    <w:pPr>
      <w:spacing w:after="0" w:line="240" w:lineRule="auto"/>
      <w:jc w:val="both"/>
    </w:pPr>
    <w:rPr>
      <w:rFonts w:ascii="Arial" w:hAnsi="Arial"/>
      <w:sz w:val="20"/>
      <w:szCs w:val="20"/>
    </w:rPr>
  </w:style>
  <w:style w:type="paragraph" w:customStyle="1" w:styleId="itemise">
    <w:name w:val="itemise"/>
    <w:basedOn w:val="Normal"/>
    <w:rsid w:val="000014EA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7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F54"/>
    <w:rPr>
      <w:rFonts w:ascii="Calibri" w:eastAsia="Times New Roman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07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F54"/>
    <w:rPr>
      <w:rFonts w:ascii="Calibri" w:eastAsia="Times New Roman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5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flyvbjerg.plan.aau.dk/HARVARDDESIGN63PRINT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1F31F67A89248A320D3F27B8099D6" ma:contentTypeVersion="0" ma:contentTypeDescription="Create a new document." ma:contentTypeScope="" ma:versionID="95eb2e144520320873f5a76d2fe9eb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17CC8-6769-4F12-9C8C-F433F9DEA831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9AA420-9449-43B7-B6FE-1F944D680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A73EE9-C10F-4D26-A3BD-64EC006EE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Alexandra J</dc:creator>
  <cp:lastModifiedBy>Williams, Alexandra J</cp:lastModifiedBy>
  <cp:revision>4</cp:revision>
  <dcterms:created xsi:type="dcterms:W3CDTF">2014-09-30T06:45:00Z</dcterms:created>
  <dcterms:modified xsi:type="dcterms:W3CDTF">2014-09-30T06:56:00Z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0x010100EF41F31F67A89248A320D3F27B8099D6</vt:lpwstr>
  </property>
</Properties>
</file>