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5F5EF" w14:textId="6EE8F145" w:rsidR="00505646" w:rsidRPr="00E10BA4" w:rsidRDefault="00C72BBA" w:rsidP="00E10BA4">
      <w:pPr>
        <w:pStyle w:val="Heading1"/>
        <w:spacing w:line="276" w:lineRule="auto"/>
        <w:rPr>
          <w:rFonts w:ascii="Arial" w:hAnsi="Arial" w:cs="Arial"/>
          <w:sz w:val="28"/>
          <w:szCs w:val="28"/>
        </w:rPr>
      </w:pPr>
      <w:r w:rsidRPr="00E10BA4">
        <w:rPr>
          <w:rFonts w:ascii="Arial" w:hAnsi="Arial" w:cs="Arial"/>
          <w:b/>
          <w:sz w:val="28"/>
          <w:szCs w:val="28"/>
        </w:rPr>
        <w:t>S</w:t>
      </w:r>
      <w:r w:rsidR="00437CA9" w:rsidRPr="00E10BA4">
        <w:rPr>
          <w:rFonts w:ascii="Arial" w:hAnsi="Arial" w:cs="Arial"/>
          <w:b/>
          <w:sz w:val="28"/>
          <w:szCs w:val="28"/>
        </w:rPr>
        <w:t xml:space="preserve">tandard </w:t>
      </w:r>
      <w:r w:rsidRPr="00E10BA4">
        <w:rPr>
          <w:rFonts w:ascii="Arial" w:hAnsi="Arial" w:cs="Arial"/>
          <w:b/>
          <w:sz w:val="28"/>
          <w:szCs w:val="28"/>
        </w:rPr>
        <w:t>O</w:t>
      </w:r>
      <w:r w:rsidR="00437CA9" w:rsidRPr="00E10BA4">
        <w:rPr>
          <w:rFonts w:ascii="Arial" w:hAnsi="Arial" w:cs="Arial"/>
          <w:b/>
          <w:sz w:val="28"/>
          <w:szCs w:val="28"/>
        </w:rPr>
        <w:t xml:space="preserve">perating </w:t>
      </w:r>
      <w:r w:rsidRPr="00E10BA4">
        <w:rPr>
          <w:rFonts w:ascii="Arial" w:hAnsi="Arial" w:cs="Arial"/>
          <w:b/>
          <w:sz w:val="28"/>
          <w:szCs w:val="28"/>
        </w:rPr>
        <w:t>P</w:t>
      </w:r>
      <w:r w:rsidR="00437CA9" w:rsidRPr="00E10BA4">
        <w:rPr>
          <w:rFonts w:ascii="Arial" w:hAnsi="Arial" w:cs="Arial"/>
          <w:b/>
          <w:sz w:val="28"/>
          <w:szCs w:val="28"/>
        </w:rPr>
        <w:t>rocedure (SOP)</w:t>
      </w:r>
      <w:r w:rsidRPr="00E10BA4">
        <w:rPr>
          <w:rFonts w:ascii="Arial" w:hAnsi="Arial" w:cs="Arial"/>
          <w:b/>
          <w:sz w:val="28"/>
          <w:szCs w:val="28"/>
        </w:rPr>
        <w:t xml:space="preserve"> Title</w:t>
      </w:r>
      <w:r w:rsidR="00437CA9" w:rsidRPr="00E10BA4">
        <w:rPr>
          <w:rFonts w:ascii="Arial" w:hAnsi="Arial" w:cs="Arial"/>
          <w:b/>
          <w:sz w:val="28"/>
          <w:szCs w:val="28"/>
        </w:rPr>
        <w:t>:</w:t>
      </w:r>
      <w:r w:rsidR="00694217" w:rsidRPr="00E10BA4">
        <w:rPr>
          <w:rFonts w:ascii="Arial" w:hAnsi="Arial" w:cs="Arial"/>
          <w:b/>
          <w:sz w:val="28"/>
          <w:szCs w:val="28"/>
        </w:rPr>
        <w:t xml:space="preserve"> </w:t>
      </w:r>
      <w:r w:rsidR="00DF030B" w:rsidRPr="00E10BA4">
        <w:rPr>
          <w:rFonts w:ascii="Arial" w:hAnsi="Arial" w:cs="Arial"/>
          <w:b/>
          <w:sz w:val="28"/>
          <w:szCs w:val="28"/>
        </w:rPr>
        <w:t xml:space="preserve">Use of </w:t>
      </w:r>
      <w:r w:rsidR="00AC26D9" w:rsidRPr="00E10BA4">
        <w:rPr>
          <w:rFonts w:ascii="Arial" w:hAnsi="Arial" w:cs="Arial"/>
          <w:b/>
          <w:sz w:val="28"/>
          <w:szCs w:val="28"/>
        </w:rPr>
        <w:t>Gas cylinders and regulators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0"/>
        <w:gridCol w:w="785"/>
        <w:gridCol w:w="535"/>
        <w:gridCol w:w="2173"/>
        <w:gridCol w:w="2066"/>
        <w:gridCol w:w="2927"/>
      </w:tblGrid>
      <w:tr w:rsidR="000A329F" w:rsidRPr="00D84CBB" w14:paraId="598EF636" w14:textId="77777777" w:rsidTr="001D22B7">
        <w:tc>
          <w:tcPr>
            <w:tcW w:w="642" w:type="pct"/>
            <w:shd w:val="clear" w:color="auto" w:fill="1F3864" w:themeFill="accent5" w:themeFillShade="80"/>
          </w:tcPr>
          <w:p w14:paraId="0E0A8EE6" w14:textId="77777777" w:rsidR="000A329F" w:rsidRPr="00D84CBB" w:rsidRDefault="000A329F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Assessor: </w:t>
            </w:r>
          </w:p>
        </w:tc>
        <w:tc>
          <w:tcPr>
            <w:tcW w:w="1794" w:type="pct"/>
            <w:gridSpan w:val="3"/>
          </w:tcPr>
          <w:p w14:paraId="4618BD22" w14:textId="77777777" w:rsidR="000A329F" w:rsidRPr="00D84CBB" w:rsidRDefault="000A329F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Joshua Linfoot</w:t>
            </w:r>
          </w:p>
        </w:tc>
        <w:tc>
          <w:tcPr>
            <w:tcW w:w="1061" w:type="pct"/>
            <w:shd w:val="clear" w:color="auto" w:fill="1F3864" w:themeFill="accent5" w:themeFillShade="80"/>
          </w:tcPr>
          <w:p w14:paraId="3E1CA84E" w14:textId="77777777" w:rsidR="000A329F" w:rsidRPr="00D84CBB" w:rsidRDefault="000A329F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Location of work: </w:t>
            </w:r>
          </w:p>
        </w:tc>
        <w:tc>
          <w:tcPr>
            <w:tcW w:w="1503" w:type="pct"/>
          </w:tcPr>
          <w:p w14:paraId="6C7181D7" w14:textId="77777777" w:rsidR="000A329F" w:rsidRPr="00D84CBB" w:rsidRDefault="000A329F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MSRH 502</w:t>
            </w:r>
          </w:p>
        </w:tc>
      </w:tr>
      <w:tr w:rsidR="000A329F" w:rsidRPr="00D84CBB" w14:paraId="4A0559FF" w14:textId="77777777" w:rsidTr="001D22B7">
        <w:tc>
          <w:tcPr>
            <w:tcW w:w="1320" w:type="pct"/>
            <w:gridSpan w:val="3"/>
            <w:shd w:val="clear" w:color="auto" w:fill="1F3864" w:themeFill="accent5" w:themeFillShade="80"/>
          </w:tcPr>
          <w:p w14:paraId="5C885F0A" w14:textId="77777777" w:rsidR="000A329F" w:rsidRPr="00D84CBB" w:rsidRDefault="000A329F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Principal Investigator: </w:t>
            </w:r>
          </w:p>
        </w:tc>
        <w:tc>
          <w:tcPr>
            <w:tcW w:w="3680" w:type="pct"/>
            <w:gridSpan w:val="3"/>
          </w:tcPr>
          <w:p w14:paraId="76B2F246" w14:textId="77777777" w:rsidR="000A329F" w:rsidRPr="00D84CBB" w:rsidRDefault="000A329F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 Alan Spivey</w:t>
            </w:r>
          </w:p>
        </w:tc>
      </w:tr>
      <w:tr w:rsidR="000A329F" w:rsidRPr="00D84CBB" w14:paraId="7C812460" w14:textId="77777777" w:rsidTr="001D22B7">
        <w:tc>
          <w:tcPr>
            <w:tcW w:w="1045" w:type="pct"/>
            <w:gridSpan w:val="2"/>
            <w:shd w:val="clear" w:color="auto" w:fill="1F3864" w:themeFill="accent5" w:themeFillShade="80"/>
          </w:tcPr>
          <w:p w14:paraId="4A5A5B23" w14:textId="77777777" w:rsidR="000A329F" w:rsidRPr="00D84CBB" w:rsidRDefault="000A329F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 xml:space="preserve">Date of approval: </w:t>
            </w:r>
          </w:p>
        </w:tc>
        <w:tc>
          <w:tcPr>
            <w:tcW w:w="1391" w:type="pct"/>
            <w:gridSpan w:val="2"/>
          </w:tcPr>
          <w:p w14:paraId="07671CD8" w14:textId="50DED9EE" w:rsidR="000A329F" w:rsidRPr="00D84CBB" w:rsidRDefault="00F256F8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13/09/2021</w:t>
            </w:r>
          </w:p>
        </w:tc>
        <w:tc>
          <w:tcPr>
            <w:tcW w:w="1061" w:type="pct"/>
            <w:shd w:val="clear" w:color="auto" w:fill="1F3864" w:themeFill="accent5" w:themeFillShade="80"/>
          </w:tcPr>
          <w:p w14:paraId="19CA36C1" w14:textId="77777777" w:rsidR="000A329F" w:rsidRPr="00D84CBB" w:rsidRDefault="000A329F" w:rsidP="001D22B7">
            <w:pPr>
              <w:spacing w:line="276" w:lineRule="auto"/>
              <w:rPr>
                <w:rFonts w:ascii="Arial" w:hAnsi="Arial" w:cs="Arial"/>
              </w:rPr>
            </w:pPr>
            <w:r w:rsidRPr="00D84CBB">
              <w:rPr>
                <w:rFonts w:ascii="Arial" w:hAnsi="Arial" w:cs="Arial"/>
              </w:rPr>
              <w:t>Date for review:</w:t>
            </w:r>
          </w:p>
        </w:tc>
        <w:tc>
          <w:tcPr>
            <w:tcW w:w="1503" w:type="pct"/>
          </w:tcPr>
          <w:p w14:paraId="7DA34AFF" w14:textId="3AF0B24A" w:rsidR="000A329F" w:rsidRPr="00D84CBB" w:rsidRDefault="00F256F8" w:rsidP="001D22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13/09/2022</w:t>
            </w:r>
            <w:bookmarkStart w:id="0" w:name="_GoBack"/>
            <w:bookmarkEnd w:id="0"/>
          </w:p>
        </w:tc>
      </w:tr>
    </w:tbl>
    <w:p w14:paraId="7A35C1F9" w14:textId="5003F664" w:rsidR="00CB5AE0" w:rsidRPr="00E10BA4" w:rsidRDefault="00CB5AE0" w:rsidP="00E10BA4">
      <w:pPr>
        <w:pStyle w:val="Heading2"/>
        <w:spacing w:before="12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E10BA4">
        <w:rPr>
          <w:rFonts w:ascii="Arial" w:hAnsi="Arial" w:cs="Arial"/>
          <w:b/>
          <w:color w:val="1F3864" w:themeColor="accent5" w:themeShade="80"/>
        </w:rPr>
        <w:t xml:space="preserve">Justifying the </w:t>
      </w:r>
      <w:r w:rsidR="007C48D0" w:rsidRPr="00E10BA4">
        <w:rPr>
          <w:rFonts w:ascii="Arial" w:hAnsi="Arial" w:cs="Arial"/>
          <w:b/>
          <w:color w:val="1F3864" w:themeColor="accent5" w:themeShade="80"/>
        </w:rPr>
        <w:t>hazards</w:t>
      </w:r>
      <w:r w:rsidR="00437CA9" w:rsidRPr="00E10BA4">
        <w:rPr>
          <w:rFonts w:ascii="Arial" w:hAnsi="Arial" w:cs="Arial"/>
          <w:b/>
          <w:color w:val="1F3864" w:themeColor="accent5" w:themeShade="80"/>
        </w:rPr>
        <w:t>:</w:t>
      </w:r>
    </w:p>
    <w:p w14:paraId="0733E7A2" w14:textId="6DD73108" w:rsidR="00AC26D9" w:rsidRPr="00E10BA4" w:rsidRDefault="003A63F7" w:rsidP="00E10BA4">
      <w:pPr>
        <w:spacing w:line="276" w:lineRule="auto"/>
        <w:rPr>
          <w:rFonts w:ascii="Arial" w:hAnsi="Arial" w:cs="Arial"/>
        </w:rPr>
      </w:pPr>
      <w:r w:rsidRPr="00E10BA4">
        <w:rPr>
          <w:rFonts w:ascii="Arial" w:eastAsiaTheme="majorEastAsia" w:hAnsi="Arial" w:cs="Arial"/>
        </w:rPr>
        <w:t xml:space="preserve">The </w:t>
      </w:r>
      <w:r w:rsidR="00AC26D9" w:rsidRPr="00E10BA4">
        <w:rPr>
          <w:rFonts w:ascii="Arial" w:eastAsiaTheme="majorEastAsia" w:hAnsi="Arial" w:cs="Arial"/>
        </w:rPr>
        <w:t xml:space="preserve">Department of Chemistry has centralised </w:t>
      </w:r>
      <w:r w:rsidRPr="00E10BA4">
        <w:rPr>
          <w:rFonts w:ascii="Arial" w:eastAsiaTheme="majorEastAsia" w:hAnsi="Arial" w:cs="Arial"/>
        </w:rPr>
        <w:t xml:space="preserve">the </w:t>
      </w:r>
      <w:r w:rsidR="00AC26D9" w:rsidRPr="00E10BA4">
        <w:rPr>
          <w:rFonts w:ascii="Arial" w:eastAsiaTheme="majorEastAsia" w:hAnsi="Arial" w:cs="Arial"/>
        </w:rPr>
        <w:t xml:space="preserve">supply of nitrogen to </w:t>
      </w:r>
      <w:r w:rsidRPr="00E10BA4">
        <w:rPr>
          <w:rFonts w:ascii="Arial" w:eastAsiaTheme="majorEastAsia" w:hAnsi="Arial" w:cs="Arial"/>
        </w:rPr>
        <w:t xml:space="preserve">its </w:t>
      </w:r>
      <w:r w:rsidR="00AC26D9" w:rsidRPr="00E10BA4">
        <w:rPr>
          <w:rFonts w:ascii="Arial" w:eastAsiaTheme="majorEastAsia" w:hAnsi="Arial" w:cs="Arial"/>
        </w:rPr>
        <w:t>laboratories. The BOC group supplies a selection of gases in cylinders of different sizes. Where possible</w:t>
      </w:r>
      <w:r w:rsidRPr="00E10BA4">
        <w:rPr>
          <w:rFonts w:ascii="Arial" w:eastAsiaTheme="majorEastAsia" w:hAnsi="Arial" w:cs="Arial"/>
        </w:rPr>
        <w:t>,</w:t>
      </w:r>
      <w:r w:rsidR="00AC26D9" w:rsidRPr="00E10BA4">
        <w:rPr>
          <w:rFonts w:ascii="Arial" w:eastAsiaTheme="majorEastAsia" w:hAnsi="Arial" w:cs="Arial"/>
        </w:rPr>
        <w:t xml:space="preserve"> laboratory users should return to BOC those cylinders that have been stored for </w:t>
      </w:r>
      <w:r w:rsidRPr="00E10BA4">
        <w:rPr>
          <w:rFonts w:ascii="Arial" w:eastAsiaTheme="majorEastAsia" w:hAnsi="Arial" w:cs="Arial"/>
        </w:rPr>
        <w:t xml:space="preserve">a </w:t>
      </w:r>
      <w:r w:rsidR="00AC26D9" w:rsidRPr="00E10BA4">
        <w:rPr>
          <w:rFonts w:ascii="Arial" w:eastAsiaTheme="majorEastAsia" w:hAnsi="Arial" w:cs="Arial"/>
        </w:rPr>
        <w:t>long time without use.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2"/>
        <w:gridCol w:w="609"/>
        <w:gridCol w:w="5176"/>
        <w:gridCol w:w="759"/>
      </w:tblGrid>
      <w:tr w:rsidR="00D32431" w:rsidRPr="00E10BA4" w14:paraId="20B57572" w14:textId="77777777" w:rsidTr="00F61596">
        <w:trPr>
          <w:trHeight w:val="303"/>
        </w:trPr>
        <w:tc>
          <w:tcPr>
            <w:tcW w:w="5000" w:type="pct"/>
            <w:gridSpan w:val="4"/>
            <w:shd w:val="clear" w:color="auto" w:fill="1F3864" w:themeFill="accent5" w:themeFillShade="80"/>
          </w:tcPr>
          <w:p w14:paraId="1527535B" w14:textId="4E4C21D8" w:rsidR="00D32431" w:rsidRPr="00E10BA4" w:rsidRDefault="007C48D0" w:rsidP="00E10BA4">
            <w:pPr>
              <w:spacing w:line="276" w:lineRule="auto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Identify h</w:t>
            </w:r>
            <w:r w:rsidR="00D32431" w:rsidRPr="00E10BA4">
              <w:rPr>
                <w:rFonts w:ascii="Arial" w:hAnsi="Arial" w:cs="Arial"/>
              </w:rPr>
              <w:t xml:space="preserve">azards with specific risk assessments and </w:t>
            </w:r>
            <w:r w:rsidR="00754F39" w:rsidRPr="00E10BA4">
              <w:rPr>
                <w:rFonts w:ascii="Arial" w:hAnsi="Arial" w:cs="Arial"/>
              </w:rPr>
              <w:t xml:space="preserve">a College </w:t>
            </w:r>
            <w:r w:rsidR="00D32431" w:rsidRPr="00E10BA4">
              <w:rPr>
                <w:rFonts w:ascii="Arial" w:hAnsi="Arial" w:cs="Arial"/>
              </w:rPr>
              <w:t>or a department</w:t>
            </w:r>
            <w:r w:rsidR="00754F39" w:rsidRPr="00E10BA4">
              <w:rPr>
                <w:rFonts w:ascii="Arial" w:hAnsi="Arial" w:cs="Arial"/>
              </w:rPr>
              <w:t>al</w:t>
            </w:r>
            <w:r w:rsidR="00D32431" w:rsidRPr="00E10BA4">
              <w:rPr>
                <w:rFonts w:ascii="Arial" w:hAnsi="Arial" w:cs="Arial"/>
              </w:rPr>
              <w:t xml:space="preserve"> approval process </w:t>
            </w:r>
          </w:p>
        </w:tc>
      </w:tr>
      <w:tr w:rsidR="00D32431" w:rsidRPr="00E10BA4" w14:paraId="6CD1F8D4" w14:textId="77777777" w:rsidTr="00F61596">
        <w:trPr>
          <w:trHeight w:val="303"/>
        </w:trPr>
        <w:tc>
          <w:tcPr>
            <w:tcW w:w="1639" w:type="pct"/>
            <w:shd w:val="clear" w:color="auto" w:fill="auto"/>
          </w:tcPr>
          <w:p w14:paraId="6C675068" w14:textId="6955E245" w:rsidR="00D32431" w:rsidRPr="00E10BA4" w:rsidRDefault="00F256F8" w:rsidP="00E10BA4">
            <w:pPr>
              <w:spacing w:line="276" w:lineRule="auto"/>
              <w:rPr>
                <w:rFonts w:ascii="Arial" w:hAnsi="Arial" w:cs="Arial"/>
              </w:rPr>
            </w:pPr>
            <w:hyperlink r:id="rId9" w:history="1">
              <w:r w:rsidR="00437CA9" w:rsidRPr="00E10BA4">
                <w:rPr>
                  <w:rStyle w:val="Hyperlink"/>
                  <w:rFonts w:ascii="Arial" w:hAnsi="Arial" w:cs="Arial"/>
                </w:rPr>
                <w:t>Ionising radiation sources</w:t>
              </w:r>
            </w:hyperlink>
          </w:p>
        </w:tc>
        <w:tc>
          <w:tcPr>
            <w:tcW w:w="313" w:type="pct"/>
          </w:tcPr>
          <w:p w14:paraId="5284963F" w14:textId="77777777" w:rsidR="00D32431" w:rsidRPr="00E10BA4" w:rsidRDefault="00F256F8" w:rsidP="00E10BA4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731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431" w:rsidRPr="00E10B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58" w:type="pct"/>
            <w:shd w:val="clear" w:color="auto" w:fill="auto"/>
          </w:tcPr>
          <w:p w14:paraId="4384E174" w14:textId="4A581A3E" w:rsidR="00D32431" w:rsidRPr="00E10BA4" w:rsidRDefault="00F256F8" w:rsidP="00E10BA4">
            <w:pPr>
              <w:spacing w:line="276" w:lineRule="auto"/>
              <w:rPr>
                <w:rFonts w:ascii="Arial" w:hAnsi="Arial" w:cs="Arial"/>
              </w:rPr>
            </w:pPr>
            <w:hyperlink r:id="rId10" w:history="1">
              <w:r w:rsidR="00437CA9" w:rsidRPr="00E10BA4">
                <w:rPr>
                  <w:rStyle w:val="Hyperlink"/>
                  <w:rFonts w:ascii="Arial" w:hAnsi="Arial" w:cs="Arial"/>
                </w:rPr>
                <w:t>Biological sources</w:t>
              </w:r>
            </w:hyperlink>
            <w:r w:rsidR="00437CA9" w:rsidRPr="00E10BA4">
              <w:rPr>
                <w:rFonts w:ascii="Arial" w:hAnsi="Arial" w:cs="Arial"/>
              </w:rPr>
              <w:t xml:space="preserve"> (microorganisms, human/animal tissues, plants)</w:t>
            </w:r>
          </w:p>
        </w:tc>
        <w:tc>
          <w:tcPr>
            <w:tcW w:w="390" w:type="pct"/>
          </w:tcPr>
          <w:p w14:paraId="5BC9EE90" w14:textId="77777777" w:rsidR="00D32431" w:rsidRPr="00E10BA4" w:rsidRDefault="00F256F8" w:rsidP="00E10BA4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423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431" w:rsidRPr="00E10B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32431" w:rsidRPr="00E10BA4" w14:paraId="4D9393B1" w14:textId="77777777" w:rsidTr="00F61596">
        <w:trPr>
          <w:trHeight w:val="303"/>
        </w:trPr>
        <w:tc>
          <w:tcPr>
            <w:tcW w:w="1639" w:type="pct"/>
            <w:shd w:val="clear" w:color="auto" w:fill="auto"/>
          </w:tcPr>
          <w:p w14:paraId="54FCD3C7" w14:textId="77777777" w:rsidR="00860EB3" w:rsidRDefault="00F256F8" w:rsidP="00860EB3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  <w:lang w:val="en"/>
              </w:rPr>
            </w:pPr>
            <w:hyperlink r:id="rId11" w:history="1">
              <w:r w:rsidR="00860EB3">
                <w:rPr>
                  <w:rFonts w:ascii="Arial" w:hAnsi="Arial" w:cs="Arial"/>
                  <w:color w:val="0000FF"/>
                  <w:u w:val="single"/>
                </w:rPr>
                <w:t>Class 3R, 3B or 4 Lasers</w:t>
              </w:r>
            </w:hyperlink>
          </w:p>
          <w:p w14:paraId="4E43DA25" w14:textId="77016B27" w:rsidR="00D32431" w:rsidRPr="00E10BA4" w:rsidRDefault="00D32431" w:rsidP="00E10B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1C14A478" w14:textId="68746565" w:rsidR="00D32431" w:rsidRPr="00E10BA4" w:rsidRDefault="00F256F8" w:rsidP="00E10BA4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824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CD4" w:rsidRPr="00E10B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58" w:type="pct"/>
            <w:shd w:val="clear" w:color="auto" w:fill="auto"/>
          </w:tcPr>
          <w:p w14:paraId="5EF66011" w14:textId="4840FCE9" w:rsidR="00D32431" w:rsidRPr="00E10BA4" w:rsidRDefault="00F256F8" w:rsidP="00E10BA4">
            <w:pPr>
              <w:spacing w:line="276" w:lineRule="auto"/>
              <w:rPr>
                <w:rFonts w:ascii="Arial" w:hAnsi="Arial" w:cs="Arial"/>
              </w:rPr>
            </w:pPr>
            <w:hyperlink r:id="rId12" w:history="1">
              <w:r w:rsidR="00437CA9" w:rsidRPr="00E10BA4">
                <w:rPr>
                  <w:rStyle w:val="Hyperlink"/>
                  <w:rFonts w:ascii="Arial" w:hAnsi="Arial" w:cs="Arial"/>
                </w:rPr>
                <w:t>Offsite work</w:t>
              </w:r>
            </w:hyperlink>
          </w:p>
        </w:tc>
        <w:tc>
          <w:tcPr>
            <w:tcW w:w="390" w:type="pct"/>
          </w:tcPr>
          <w:p w14:paraId="2CD0492A" w14:textId="77777777" w:rsidR="00D32431" w:rsidRPr="00E10BA4" w:rsidRDefault="00F256F8" w:rsidP="00E10BA4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43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431" w:rsidRPr="00E10B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64B5F" w:rsidRPr="00E10BA4" w14:paraId="0688A521" w14:textId="77777777" w:rsidTr="00E64B5F">
        <w:trPr>
          <w:trHeight w:val="303"/>
        </w:trPr>
        <w:tc>
          <w:tcPr>
            <w:tcW w:w="5000" w:type="pct"/>
            <w:gridSpan w:val="4"/>
            <w:shd w:val="clear" w:color="auto" w:fill="auto"/>
          </w:tcPr>
          <w:p w14:paraId="4916B0C7" w14:textId="5C9DB9A3" w:rsidR="009B0259" w:rsidRPr="00E10BA4" w:rsidRDefault="00E64B5F" w:rsidP="00E10BA4">
            <w:pPr>
              <w:spacing w:line="276" w:lineRule="auto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Confirm if </w:t>
            </w:r>
            <w:hyperlink r:id="rId13" w:history="1">
              <w:r w:rsidRPr="00E10BA4">
                <w:rPr>
                  <w:rStyle w:val="Hyperlink"/>
                  <w:rFonts w:ascii="Arial" w:hAnsi="Arial" w:cs="Arial"/>
                </w:rPr>
                <w:t>Lone working</w:t>
              </w:r>
            </w:hyperlink>
            <w:r w:rsidRPr="00E10BA4">
              <w:rPr>
                <w:rFonts w:ascii="Arial" w:hAnsi="Arial" w:cs="Arial"/>
              </w:rPr>
              <w:t xml:space="preserve"> is permitted with this SOP? </w:t>
            </w:r>
            <w:sdt>
              <w:sdtPr>
                <w:rPr>
                  <w:rFonts w:ascii="Arial" w:hAnsi="Arial" w:cs="Arial"/>
                </w:rPr>
                <w:id w:val="720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EA6" w:rsidRPr="00E10B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10BA4">
              <w:rPr>
                <w:rFonts w:ascii="Arial" w:hAnsi="Arial" w:cs="Arial"/>
              </w:rPr>
              <w:t xml:space="preserve"> If it is permitted, describe the control measures for lone workers:     </w:t>
            </w:r>
          </w:p>
        </w:tc>
      </w:tr>
    </w:tbl>
    <w:p w14:paraId="402D27FC" w14:textId="77777777" w:rsidR="00E10BA4" w:rsidRPr="00E10BA4" w:rsidRDefault="00E10BA4" w:rsidP="00E10BA4">
      <w:pPr>
        <w:pStyle w:val="Heading2"/>
        <w:spacing w:before="120" w:line="276" w:lineRule="auto"/>
        <w:jc w:val="both"/>
        <w:rPr>
          <w:rFonts w:ascii="Arial" w:hAnsi="Arial" w:cs="Arial"/>
          <w:b/>
          <w:color w:val="1F3864" w:themeColor="accent5" w:themeShade="80"/>
          <w:sz w:val="18"/>
        </w:rPr>
      </w:pPr>
    </w:p>
    <w:p w14:paraId="3569FA1A" w14:textId="175C04B4" w:rsidR="00D10075" w:rsidRPr="00E10BA4" w:rsidRDefault="00437CA9" w:rsidP="00E10BA4">
      <w:pPr>
        <w:pStyle w:val="Heading2"/>
        <w:spacing w:before="12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E10BA4">
        <w:rPr>
          <w:rFonts w:ascii="Arial" w:hAnsi="Arial" w:cs="Arial"/>
          <w:b/>
          <w:color w:val="1F3864" w:themeColor="accent5" w:themeShade="80"/>
        </w:rPr>
        <w:t>Preparing for the SOP</w:t>
      </w:r>
      <w:r w:rsidR="00D10075" w:rsidRPr="00E10BA4">
        <w:rPr>
          <w:rFonts w:ascii="Arial" w:hAnsi="Arial" w:cs="Arial"/>
          <w:b/>
          <w:color w:val="1F3864" w:themeColor="accent5" w:themeShade="80"/>
        </w:rPr>
        <w:t>:</w:t>
      </w:r>
    </w:p>
    <w:p w14:paraId="0DC83935" w14:textId="5EAC749F" w:rsidR="00D44857" w:rsidRPr="00E10BA4" w:rsidRDefault="00D44857" w:rsidP="00E10BA4">
      <w:pPr>
        <w:spacing w:after="0" w:line="276" w:lineRule="auto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t xml:space="preserve">All personnel </w:t>
      </w:r>
      <w:r w:rsidR="003A63F7" w:rsidRPr="00E10BA4">
        <w:rPr>
          <w:rFonts w:ascii="Arial" w:hAnsi="Arial" w:cs="Arial"/>
        </w:rPr>
        <w:t xml:space="preserve">are </w:t>
      </w:r>
      <w:r w:rsidRPr="00E10BA4">
        <w:rPr>
          <w:rFonts w:ascii="Arial" w:hAnsi="Arial" w:cs="Arial"/>
        </w:rPr>
        <w:t xml:space="preserve">required to undertake training on Compressed Gases and Connecting Gas Regulators </w:t>
      </w:r>
      <w:hyperlink r:id="rId14" w:history="1">
        <w:r w:rsidRPr="00E10BA4">
          <w:rPr>
            <w:rStyle w:val="Hyperlink"/>
            <w:rFonts w:ascii="Arial" w:hAnsi="Arial" w:cs="Arial"/>
          </w:rPr>
          <w:t>http://www.imperial.ac.uk/staff-development/safety-training/safety-courses-/compressed-gases-and-connecting-gas-regulators/</w:t>
        </w:r>
      </w:hyperlink>
      <w:r w:rsidRPr="00E10BA4">
        <w:rPr>
          <w:rFonts w:ascii="Arial" w:hAnsi="Arial" w:cs="Arial"/>
        </w:rPr>
        <w:t xml:space="preserve"> before undertaking any work with gas cylinders and regulators.</w:t>
      </w:r>
    </w:p>
    <w:p w14:paraId="08C12090" w14:textId="066EA527" w:rsidR="00822CC3" w:rsidRPr="00E10BA4" w:rsidRDefault="00D44857" w:rsidP="00E10BA4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eastAsiaTheme="majorEastAsia" w:hAnsi="Arial" w:cs="Arial"/>
        </w:rPr>
      </w:pPr>
      <w:r w:rsidRPr="00E10BA4">
        <w:rPr>
          <w:rFonts w:ascii="Arial" w:eastAsiaTheme="majorEastAsia" w:hAnsi="Arial" w:cs="Arial"/>
          <w:b/>
        </w:rPr>
        <w:t>DON’T</w:t>
      </w:r>
      <w:r w:rsidRPr="00E10BA4">
        <w:rPr>
          <w:rFonts w:ascii="Arial" w:eastAsiaTheme="majorEastAsia" w:hAnsi="Arial" w:cs="Arial"/>
        </w:rPr>
        <w:t xml:space="preserve"> use soap for leak test</w:t>
      </w:r>
      <w:r w:rsidR="00E10BA4">
        <w:rPr>
          <w:rFonts w:ascii="Arial" w:eastAsiaTheme="majorEastAsia" w:hAnsi="Arial" w:cs="Arial"/>
        </w:rPr>
        <w:t>ing</w:t>
      </w:r>
      <w:r w:rsidRPr="00E10BA4">
        <w:rPr>
          <w:rFonts w:ascii="Arial" w:eastAsiaTheme="majorEastAsia" w:hAnsi="Arial" w:cs="Arial"/>
        </w:rPr>
        <w:t>.</w:t>
      </w:r>
    </w:p>
    <w:p w14:paraId="4AB6B375" w14:textId="680C3955" w:rsidR="00D44857" w:rsidRPr="00E10BA4" w:rsidRDefault="001246EB" w:rsidP="00E10BA4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eastAsiaTheme="majorEastAsia" w:hAnsi="Arial" w:cs="Arial"/>
        </w:rPr>
      </w:pPr>
      <w:r w:rsidRPr="00E10BA4">
        <w:rPr>
          <w:rFonts w:ascii="Arial" w:hAnsi="Arial" w:cs="Arial"/>
          <w:b/>
        </w:rPr>
        <w:t>DO:</w:t>
      </w:r>
      <w:r w:rsidRPr="00E10BA4">
        <w:rPr>
          <w:rFonts w:ascii="Arial" w:hAnsi="Arial" w:cs="Arial"/>
        </w:rPr>
        <w:t xml:space="preserve"> L</w:t>
      </w:r>
      <w:r w:rsidR="00D44857" w:rsidRPr="00E10BA4">
        <w:rPr>
          <w:rFonts w:ascii="Arial" w:hAnsi="Arial" w:cs="Arial"/>
        </w:rPr>
        <w:t xml:space="preserve">eak test your pressure system </w:t>
      </w:r>
      <w:r w:rsidRPr="00E10BA4">
        <w:rPr>
          <w:rFonts w:ascii="Arial" w:hAnsi="Arial" w:cs="Arial"/>
        </w:rPr>
        <w:t>each time a regulator is attached to the cylinder with an</w:t>
      </w:r>
      <w:r w:rsidR="00D44857" w:rsidRPr="00E10BA4">
        <w:rPr>
          <w:rFonts w:ascii="Arial" w:hAnsi="Arial" w:cs="Arial"/>
        </w:rPr>
        <w:t xml:space="preserve"> oil-free leak test product e.g. 1% TEEPOL</w:t>
      </w:r>
      <w:r w:rsidRPr="00E10BA4">
        <w:rPr>
          <w:rFonts w:ascii="Arial" w:hAnsi="Arial" w:cs="Arial"/>
        </w:rPr>
        <w:t xml:space="preserve"> or </w:t>
      </w:r>
      <w:hyperlink r:id="rId15" w:history="1">
        <w:r w:rsidRPr="00E10BA4">
          <w:rPr>
            <w:rStyle w:val="Hyperlink"/>
            <w:rFonts w:ascii="Arial" w:hAnsi="Arial" w:cs="Arial"/>
          </w:rPr>
          <w:t>SNOOP</w:t>
        </w:r>
      </w:hyperlink>
      <w:r w:rsidR="00D44857" w:rsidRPr="00E10BA4">
        <w:rPr>
          <w:rFonts w:ascii="Arial" w:hAnsi="Arial" w:cs="Arial"/>
        </w:rPr>
        <w:t xml:space="preserve">. Soap and other </w:t>
      </w:r>
      <w:r w:rsidR="00E10BA4" w:rsidRPr="00E10BA4">
        <w:rPr>
          <w:rFonts w:ascii="Arial" w:hAnsi="Arial" w:cs="Arial"/>
        </w:rPr>
        <w:t>oil-based</w:t>
      </w:r>
      <w:r w:rsidR="00D44857" w:rsidRPr="00E10BA4">
        <w:rPr>
          <w:rFonts w:ascii="Arial" w:hAnsi="Arial" w:cs="Arial"/>
        </w:rPr>
        <w:t xml:space="preserve"> products are NOT suitable for leak testing compressed gas cylinders</w:t>
      </w:r>
      <w:r w:rsidRPr="00E10BA4">
        <w:rPr>
          <w:rFonts w:ascii="Arial" w:hAnsi="Arial" w:cs="Arial"/>
        </w:rPr>
        <w:t>.</w:t>
      </w:r>
    </w:p>
    <w:p w14:paraId="241AB5EE" w14:textId="7F684F31" w:rsidR="001246EB" w:rsidRPr="006C5D2D" w:rsidRDefault="001246EB" w:rsidP="00E10BA4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eastAsiaTheme="majorEastAsia" w:hAnsi="Arial" w:cs="Arial"/>
        </w:rPr>
      </w:pPr>
      <w:r w:rsidRPr="00E10BA4">
        <w:rPr>
          <w:rFonts w:ascii="Arial" w:hAnsi="Arial" w:cs="Arial"/>
          <w:b/>
        </w:rPr>
        <w:t>DO:</w:t>
      </w:r>
      <w:r w:rsidRPr="00E10BA4">
        <w:rPr>
          <w:rFonts w:ascii="Arial" w:hAnsi="Arial" w:cs="Arial"/>
        </w:rPr>
        <w:t xml:space="preserve"> Check the tubing or pipework connectin</w:t>
      </w:r>
      <w:r w:rsidR="00E10BA4">
        <w:rPr>
          <w:rFonts w:ascii="Arial" w:hAnsi="Arial" w:cs="Arial"/>
        </w:rPr>
        <w:t>g the cylinder to the equipment. I</w:t>
      </w:r>
      <w:r w:rsidRPr="00E10BA4">
        <w:rPr>
          <w:rFonts w:ascii="Arial" w:hAnsi="Arial" w:cs="Arial"/>
        </w:rPr>
        <w:t>f any signs of damage</w:t>
      </w:r>
      <w:r w:rsidR="00E10BA4">
        <w:rPr>
          <w:rFonts w:ascii="Arial" w:hAnsi="Arial" w:cs="Arial"/>
        </w:rPr>
        <w:t xml:space="preserve"> are present</w:t>
      </w:r>
      <w:r w:rsidRPr="00E10BA4">
        <w:rPr>
          <w:rFonts w:ascii="Arial" w:hAnsi="Arial" w:cs="Arial"/>
        </w:rPr>
        <w:t xml:space="preserve">, replace the tubing.  </w:t>
      </w:r>
    </w:p>
    <w:p w14:paraId="40E812CC" w14:textId="730BF346" w:rsidR="006C5D2D" w:rsidRPr="00E10BA4" w:rsidRDefault="006C5D2D" w:rsidP="00E10BA4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eastAsiaTheme="majorEastAsia" w:hAnsi="Arial" w:cs="Arial"/>
        </w:rPr>
      </w:pPr>
      <w:r>
        <w:rPr>
          <w:rFonts w:ascii="Arial" w:hAnsi="Arial" w:cs="Arial"/>
          <w:b/>
        </w:rPr>
        <w:t xml:space="preserve">DO: </w:t>
      </w:r>
      <w:r>
        <w:rPr>
          <w:rFonts w:ascii="Arial" w:hAnsi="Arial" w:cs="Arial"/>
          <w:color w:val="444444"/>
        </w:rPr>
        <w:t>Store gas cylinders in Gas Cabinets. Small vessels could be stored in dedicated 90 min rated flammable cabinet.</w:t>
      </w:r>
    </w:p>
    <w:p w14:paraId="1F123D6B" w14:textId="77777777" w:rsidR="00262953" w:rsidRPr="00E10BA4" w:rsidRDefault="00505646" w:rsidP="00E10BA4">
      <w:pPr>
        <w:pStyle w:val="Heading2"/>
        <w:spacing w:before="12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E10BA4">
        <w:rPr>
          <w:rFonts w:ascii="Arial" w:hAnsi="Arial" w:cs="Arial"/>
          <w:b/>
          <w:color w:val="1F3864" w:themeColor="accent5" w:themeShade="80"/>
        </w:rPr>
        <w:t>Procedure</w:t>
      </w:r>
      <w:r w:rsidR="00D32431" w:rsidRPr="00E10BA4">
        <w:rPr>
          <w:rFonts w:ascii="Arial" w:hAnsi="Arial" w:cs="Arial"/>
          <w:b/>
          <w:color w:val="1F3864" w:themeColor="accent5" w:themeShade="80"/>
        </w:rPr>
        <w:t>:</w:t>
      </w:r>
    </w:p>
    <w:p w14:paraId="645D5E0B" w14:textId="2F3B24AE" w:rsidR="00735EA6" w:rsidRPr="00E10BA4" w:rsidRDefault="00735EA6" w:rsidP="00E10BA4">
      <w:pPr>
        <w:pStyle w:val="Heading1"/>
        <w:keepLines w:val="0"/>
        <w:spacing w:before="0" w:line="276" w:lineRule="auto"/>
        <w:jc w:val="both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E10BA4">
        <w:rPr>
          <w:rFonts w:ascii="Arial" w:eastAsiaTheme="minorHAnsi" w:hAnsi="Arial" w:cs="Arial"/>
          <w:b/>
          <w:color w:val="auto"/>
          <w:sz w:val="22"/>
          <w:szCs w:val="22"/>
        </w:rPr>
        <w:t xml:space="preserve">Before </w:t>
      </w:r>
      <w:r w:rsidR="00DF030B" w:rsidRPr="00E10BA4">
        <w:rPr>
          <w:rFonts w:ascii="Arial" w:eastAsiaTheme="minorHAnsi" w:hAnsi="Arial" w:cs="Arial"/>
          <w:b/>
          <w:color w:val="auto"/>
          <w:sz w:val="22"/>
          <w:szCs w:val="22"/>
        </w:rPr>
        <w:t>use</w:t>
      </w:r>
      <w:r w:rsidRPr="00E10BA4">
        <w:rPr>
          <w:rFonts w:ascii="Arial" w:eastAsiaTheme="minorHAnsi" w:hAnsi="Arial" w:cs="Arial"/>
          <w:b/>
          <w:color w:val="auto"/>
          <w:sz w:val="22"/>
          <w:szCs w:val="22"/>
        </w:rPr>
        <w:t>:</w:t>
      </w:r>
    </w:p>
    <w:p w14:paraId="03182FC0" w14:textId="022F7195" w:rsidR="00D44857" w:rsidRPr="00E10BA4" w:rsidRDefault="000366F4" w:rsidP="00E10BA4">
      <w:pPr>
        <w:pStyle w:val="ListParagraph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0BA4">
        <w:rPr>
          <w:rFonts w:ascii="Arial" w:eastAsia="Helvetica" w:hAnsi="Arial" w:cs="Arial"/>
        </w:rPr>
        <w:t xml:space="preserve">Ensure that </w:t>
      </w:r>
      <w:r w:rsidR="00E10BA4">
        <w:rPr>
          <w:rFonts w:ascii="Arial" w:eastAsia="Helvetica" w:hAnsi="Arial" w:cs="Arial"/>
        </w:rPr>
        <w:t xml:space="preserve">the </w:t>
      </w:r>
      <w:r w:rsidR="00D44857" w:rsidRPr="00E10BA4">
        <w:rPr>
          <w:rFonts w:ascii="Arial" w:eastAsia="Helvetica" w:hAnsi="Arial" w:cs="Arial"/>
        </w:rPr>
        <w:t>cylinder is positioned correctly and appropriately secured.</w:t>
      </w:r>
    </w:p>
    <w:p w14:paraId="6BEC507E" w14:textId="0B32FB97" w:rsidR="00D63D87" w:rsidRPr="00E10BA4" w:rsidRDefault="00D44857" w:rsidP="00E10BA4">
      <w:pPr>
        <w:pStyle w:val="ListParagraph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t xml:space="preserve">Ensure the correct regulator </w:t>
      </w:r>
      <w:r w:rsidR="00E10BA4">
        <w:rPr>
          <w:rFonts w:ascii="Arial" w:hAnsi="Arial" w:cs="Arial"/>
        </w:rPr>
        <w:t xml:space="preserve">is </w:t>
      </w:r>
      <w:r w:rsidRPr="00E10BA4">
        <w:rPr>
          <w:rFonts w:ascii="Arial" w:hAnsi="Arial" w:cs="Arial"/>
        </w:rPr>
        <w:t>connected</w:t>
      </w:r>
      <w:r w:rsidR="003A63F7" w:rsidRPr="00E10BA4">
        <w:rPr>
          <w:rFonts w:ascii="Arial" w:hAnsi="Arial" w:cs="Arial"/>
        </w:rPr>
        <w:t xml:space="preserve"> and that </w:t>
      </w:r>
      <w:r w:rsidR="00656F01" w:rsidRPr="00E10BA4">
        <w:rPr>
          <w:rFonts w:ascii="Arial" w:hAnsi="Arial" w:cs="Arial"/>
        </w:rPr>
        <w:t>its</w:t>
      </w:r>
      <w:r w:rsidR="003A63F7" w:rsidRPr="00E10BA4">
        <w:rPr>
          <w:rFonts w:ascii="Arial" w:hAnsi="Arial" w:cs="Arial"/>
        </w:rPr>
        <w:t xml:space="preserve"> service is in date</w:t>
      </w:r>
      <w:r w:rsidR="00E10BA4">
        <w:rPr>
          <w:rFonts w:ascii="Arial" w:hAnsi="Arial" w:cs="Arial"/>
        </w:rPr>
        <w:t xml:space="preserve"> (see attached BOC tag)</w:t>
      </w:r>
      <w:r w:rsidRPr="00E10BA4">
        <w:rPr>
          <w:rFonts w:ascii="Arial" w:hAnsi="Arial" w:cs="Arial"/>
        </w:rPr>
        <w:t>.</w:t>
      </w:r>
      <w:r w:rsidR="00D63D87" w:rsidRPr="00E10BA4">
        <w:rPr>
          <w:rFonts w:ascii="Arial" w:hAnsi="Arial" w:cs="Arial"/>
        </w:rPr>
        <w:t xml:space="preserve"> </w:t>
      </w:r>
    </w:p>
    <w:p w14:paraId="26F480E5" w14:textId="4CA08800" w:rsidR="00D44857" w:rsidRPr="00E10BA4" w:rsidRDefault="00D44857" w:rsidP="00E10BA4">
      <w:pPr>
        <w:pStyle w:val="ListParagraph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t xml:space="preserve">Open the </w:t>
      </w:r>
      <w:r w:rsidR="00E10BA4">
        <w:rPr>
          <w:rFonts w:ascii="Arial" w:hAnsi="Arial" w:cs="Arial"/>
        </w:rPr>
        <w:t xml:space="preserve">gas </w:t>
      </w:r>
      <w:r w:rsidRPr="00E10BA4">
        <w:rPr>
          <w:rFonts w:ascii="Arial" w:hAnsi="Arial" w:cs="Arial"/>
        </w:rPr>
        <w:t>cylinder valve completely.</w:t>
      </w:r>
    </w:p>
    <w:p w14:paraId="30E078E6" w14:textId="65640D01" w:rsidR="00D44857" w:rsidRPr="00E10BA4" w:rsidRDefault="00D44857" w:rsidP="00E10BA4">
      <w:pPr>
        <w:pStyle w:val="ListParagraph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t xml:space="preserve">Adjust the regulator </w:t>
      </w:r>
      <w:r w:rsidR="00E10BA4">
        <w:rPr>
          <w:rFonts w:ascii="Arial" w:hAnsi="Arial" w:cs="Arial"/>
        </w:rPr>
        <w:t>pressure adjusting</w:t>
      </w:r>
      <w:r w:rsidRPr="00E10BA4">
        <w:rPr>
          <w:rFonts w:ascii="Arial" w:hAnsi="Arial" w:cs="Arial"/>
        </w:rPr>
        <w:t xml:space="preserve"> knob to raise the delivery pressure to the desired value. Do not exceed the maximum delivery pressure indicated by the model number label on the regulator.</w:t>
      </w:r>
    </w:p>
    <w:p w14:paraId="491A86AD" w14:textId="4C794E52" w:rsidR="00D44857" w:rsidRDefault="00D44857" w:rsidP="00E10BA4">
      <w:pPr>
        <w:pStyle w:val="ListParagraph"/>
        <w:numPr>
          <w:ilvl w:val="0"/>
          <w:numId w:val="3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t xml:space="preserve">Open the outlet valve on the regulator to establish gas flow to the system. This valve is used to control the gas flow. </w:t>
      </w:r>
    </w:p>
    <w:p w14:paraId="64BE87DD" w14:textId="77777777" w:rsidR="00E10BA4" w:rsidRPr="00E10BA4" w:rsidRDefault="00E10BA4" w:rsidP="00E10BA4">
      <w:pPr>
        <w:pStyle w:val="ListParagraph"/>
        <w:spacing w:after="0" w:line="276" w:lineRule="auto"/>
        <w:ind w:left="284"/>
        <w:jc w:val="both"/>
        <w:rPr>
          <w:rFonts w:ascii="Arial" w:hAnsi="Arial" w:cs="Arial"/>
        </w:rPr>
      </w:pPr>
    </w:p>
    <w:p w14:paraId="2CB60086" w14:textId="4F20DAB7" w:rsidR="00DF030B" w:rsidRPr="00E10BA4" w:rsidRDefault="00DF030B" w:rsidP="00E10BA4">
      <w:pPr>
        <w:pStyle w:val="Heading1"/>
        <w:keepLines w:val="0"/>
        <w:spacing w:before="0" w:line="276" w:lineRule="auto"/>
        <w:jc w:val="both"/>
        <w:rPr>
          <w:rFonts w:ascii="Arial" w:eastAsiaTheme="minorHAnsi" w:hAnsi="Arial" w:cs="Arial"/>
          <w:b/>
          <w:color w:val="auto"/>
          <w:sz w:val="22"/>
          <w:szCs w:val="24"/>
        </w:rPr>
      </w:pPr>
      <w:r w:rsidRPr="00E10BA4">
        <w:rPr>
          <w:rFonts w:ascii="Arial" w:eastAsiaTheme="minorHAnsi" w:hAnsi="Arial" w:cs="Arial"/>
          <w:b/>
          <w:color w:val="auto"/>
          <w:sz w:val="22"/>
          <w:szCs w:val="24"/>
        </w:rPr>
        <w:t>While using:</w:t>
      </w:r>
    </w:p>
    <w:p w14:paraId="4F583304" w14:textId="77777777" w:rsidR="00D44857" w:rsidRPr="00E10BA4" w:rsidRDefault="00D44857" w:rsidP="00E10BA4">
      <w:pPr>
        <w:spacing w:after="0" w:line="276" w:lineRule="auto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t>For temporary shutdown (less than 30</w:t>
      </w:r>
      <w:r w:rsidRPr="00E10BA4">
        <w:rPr>
          <w:rFonts w:ascii="Cambria Math" w:hAnsi="Cambria Math" w:cs="Cambria Math"/>
        </w:rPr>
        <w:t>‐</w:t>
      </w:r>
      <w:r w:rsidRPr="00E10BA4">
        <w:rPr>
          <w:rFonts w:ascii="Arial" w:hAnsi="Arial" w:cs="Arial"/>
        </w:rPr>
        <w:t>minute duration), simply close the regulator outlet valve. For extended shutdown (beyond 30</w:t>
      </w:r>
      <w:r w:rsidRPr="00E10BA4">
        <w:rPr>
          <w:rFonts w:ascii="Cambria Math" w:hAnsi="Cambria Math" w:cs="Cambria Math"/>
        </w:rPr>
        <w:t>‐</w:t>
      </w:r>
      <w:r w:rsidRPr="00E10BA4">
        <w:rPr>
          <w:rFonts w:ascii="Arial" w:hAnsi="Arial" w:cs="Arial"/>
        </w:rPr>
        <w:t xml:space="preserve">minute duration): </w:t>
      </w:r>
    </w:p>
    <w:p w14:paraId="05A9FF04" w14:textId="4D97D37F" w:rsidR="00D44857" w:rsidRPr="00E10BA4" w:rsidRDefault="00D44857" w:rsidP="00E10BA4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t xml:space="preserve">Shut off the gas cylinder valve completely. </w:t>
      </w:r>
    </w:p>
    <w:p w14:paraId="1E5C7FE0" w14:textId="083D5760" w:rsidR="00D44857" w:rsidRPr="00E10BA4" w:rsidRDefault="00D44857" w:rsidP="00E10BA4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lastRenderedPageBreak/>
        <w:t xml:space="preserve">Open the regulator </w:t>
      </w:r>
      <w:r w:rsidR="00E10BA4">
        <w:rPr>
          <w:rFonts w:ascii="Arial" w:hAnsi="Arial" w:cs="Arial"/>
        </w:rPr>
        <w:t xml:space="preserve">pressure adjusting knob </w:t>
      </w:r>
      <w:r w:rsidRPr="00E10BA4">
        <w:rPr>
          <w:rFonts w:ascii="Arial" w:hAnsi="Arial" w:cs="Arial"/>
        </w:rPr>
        <w:t xml:space="preserve">and the outlet valve to drain the contents of the regulator through the system in use. Both regulator gauges should descend to zero. </w:t>
      </w:r>
    </w:p>
    <w:p w14:paraId="5DA273D6" w14:textId="5D5D954D" w:rsidR="00D44857" w:rsidRPr="00E10BA4" w:rsidRDefault="00D44857" w:rsidP="00E10BA4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t xml:space="preserve">When using a toxic or other hazardous gas, purge the regulator and system with an inert gas. </w:t>
      </w:r>
    </w:p>
    <w:p w14:paraId="3C42D32D" w14:textId="2EC59756" w:rsidR="00D44857" w:rsidRPr="00E10BA4" w:rsidRDefault="00D44857" w:rsidP="00E10BA4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t xml:space="preserve">Close the regulator by rotating the </w:t>
      </w:r>
      <w:r w:rsidR="00E10BA4">
        <w:rPr>
          <w:rFonts w:ascii="Arial" w:hAnsi="Arial" w:cs="Arial"/>
        </w:rPr>
        <w:t>pressure adjusting</w:t>
      </w:r>
      <w:r w:rsidRPr="00E10BA4">
        <w:rPr>
          <w:rFonts w:ascii="Arial" w:hAnsi="Arial" w:cs="Arial"/>
        </w:rPr>
        <w:t xml:space="preserve"> knob counter-clockwise. Close the outlet valve by rotating the valve knob clockwise. </w:t>
      </w:r>
      <w:r w:rsidRPr="00E10BA4">
        <w:rPr>
          <w:rFonts w:ascii="Arial" w:hAnsi="Arial" w:cs="Arial"/>
          <w:b/>
        </w:rPr>
        <w:t xml:space="preserve">NOTE: </w:t>
      </w:r>
      <w:r w:rsidR="00E10BA4">
        <w:rPr>
          <w:rFonts w:ascii="Arial" w:hAnsi="Arial" w:cs="Arial"/>
          <w:b/>
        </w:rPr>
        <w:t>The o</w:t>
      </w:r>
      <w:r w:rsidRPr="00E10BA4">
        <w:rPr>
          <w:rFonts w:ascii="Arial" w:hAnsi="Arial" w:cs="Arial"/>
          <w:b/>
        </w:rPr>
        <w:t xml:space="preserve">pposite directions </w:t>
      </w:r>
      <w:r w:rsidR="00E10BA4">
        <w:rPr>
          <w:rFonts w:ascii="Arial" w:hAnsi="Arial" w:cs="Arial"/>
          <w:b/>
        </w:rPr>
        <w:t xml:space="preserve">to those stated here </w:t>
      </w:r>
      <w:r w:rsidRPr="00E10BA4">
        <w:rPr>
          <w:rFonts w:ascii="Arial" w:hAnsi="Arial" w:cs="Arial"/>
          <w:b/>
        </w:rPr>
        <w:t xml:space="preserve">should be applied to the valves on flammable gas cylinders. </w:t>
      </w:r>
    </w:p>
    <w:p w14:paraId="6D4B9B13" w14:textId="77777777" w:rsidR="00E10BA4" w:rsidRPr="00E10BA4" w:rsidRDefault="00E10BA4" w:rsidP="00E10BA4">
      <w:pPr>
        <w:pStyle w:val="ListParagraph"/>
        <w:spacing w:after="0" w:line="276" w:lineRule="auto"/>
        <w:ind w:left="786"/>
        <w:jc w:val="both"/>
        <w:rPr>
          <w:rFonts w:ascii="Arial" w:hAnsi="Arial" w:cs="Arial"/>
        </w:rPr>
      </w:pPr>
    </w:p>
    <w:p w14:paraId="052BEEEF" w14:textId="609434F1" w:rsidR="00735EA6" w:rsidRPr="00E10BA4" w:rsidRDefault="00735EA6" w:rsidP="00E10BA4">
      <w:pPr>
        <w:pStyle w:val="Heading1"/>
        <w:keepLines w:val="0"/>
        <w:spacing w:before="0" w:line="276" w:lineRule="auto"/>
        <w:jc w:val="both"/>
        <w:rPr>
          <w:rFonts w:ascii="Arial" w:eastAsiaTheme="minorHAnsi" w:hAnsi="Arial" w:cs="Arial"/>
          <w:b/>
          <w:color w:val="auto"/>
          <w:sz w:val="22"/>
          <w:szCs w:val="24"/>
        </w:rPr>
      </w:pPr>
      <w:r w:rsidRPr="00E10BA4">
        <w:rPr>
          <w:rFonts w:ascii="Arial" w:eastAsiaTheme="minorHAnsi" w:hAnsi="Arial" w:cs="Arial"/>
          <w:b/>
          <w:color w:val="auto"/>
          <w:sz w:val="22"/>
          <w:szCs w:val="24"/>
        </w:rPr>
        <w:t>A</w:t>
      </w:r>
      <w:r w:rsidR="004D2EA5" w:rsidRPr="00E10BA4">
        <w:rPr>
          <w:rFonts w:ascii="Arial" w:eastAsiaTheme="minorHAnsi" w:hAnsi="Arial" w:cs="Arial"/>
          <w:b/>
          <w:color w:val="auto"/>
          <w:sz w:val="22"/>
          <w:szCs w:val="24"/>
        </w:rPr>
        <w:t xml:space="preserve">fter </w:t>
      </w:r>
      <w:r w:rsidR="009A07E1" w:rsidRPr="00E10BA4">
        <w:rPr>
          <w:rFonts w:ascii="Arial" w:eastAsiaTheme="minorHAnsi" w:hAnsi="Arial" w:cs="Arial"/>
          <w:b/>
          <w:color w:val="auto"/>
          <w:sz w:val="22"/>
          <w:szCs w:val="24"/>
        </w:rPr>
        <w:t>use</w:t>
      </w:r>
      <w:r w:rsidR="004D2EA5" w:rsidRPr="00E10BA4">
        <w:rPr>
          <w:rFonts w:ascii="Arial" w:eastAsiaTheme="minorHAnsi" w:hAnsi="Arial" w:cs="Arial"/>
          <w:b/>
          <w:color w:val="auto"/>
          <w:sz w:val="22"/>
          <w:szCs w:val="24"/>
        </w:rPr>
        <w:t>:</w:t>
      </w:r>
    </w:p>
    <w:p w14:paraId="1CD6FE6A" w14:textId="0D49831B" w:rsidR="00D44857" w:rsidRPr="00E10BA4" w:rsidRDefault="00D44857" w:rsidP="00E10BA4">
      <w:pPr>
        <w:pStyle w:val="ListParagraph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t xml:space="preserve">Keep regulators </w:t>
      </w:r>
      <w:r w:rsidR="003A63F7" w:rsidRPr="00E10BA4">
        <w:rPr>
          <w:rFonts w:ascii="Arial" w:hAnsi="Arial" w:cs="Arial"/>
        </w:rPr>
        <w:t xml:space="preserve">turned </w:t>
      </w:r>
      <w:r w:rsidRPr="00E10BA4">
        <w:rPr>
          <w:rFonts w:ascii="Arial" w:hAnsi="Arial" w:cs="Arial"/>
        </w:rPr>
        <w:t xml:space="preserve">off </w:t>
      </w:r>
      <w:r w:rsidR="00E10BA4">
        <w:rPr>
          <w:rFonts w:ascii="Arial" w:hAnsi="Arial" w:cs="Arial"/>
        </w:rPr>
        <w:t>when</w:t>
      </w:r>
      <w:r w:rsidRPr="00E10BA4">
        <w:rPr>
          <w:rFonts w:ascii="Arial" w:hAnsi="Arial" w:cs="Arial"/>
        </w:rPr>
        <w:t xml:space="preserve"> not in use. </w:t>
      </w:r>
    </w:p>
    <w:p w14:paraId="0E8E24C8" w14:textId="7C81F4F1" w:rsidR="00D63D87" w:rsidRDefault="00D44857" w:rsidP="00E10BA4">
      <w:pPr>
        <w:pStyle w:val="ListParagraph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0BA4">
        <w:rPr>
          <w:rFonts w:ascii="Arial" w:hAnsi="Arial" w:cs="Arial"/>
        </w:rPr>
        <w:t xml:space="preserve">Do not remove keys or spanners from </w:t>
      </w:r>
      <w:r w:rsidR="00E10BA4" w:rsidRPr="00E10BA4">
        <w:rPr>
          <w:rFonts w:ascii="Arial" w:hAnsi="Arial" w:cs="Arial"/>
        </w:rPr>
        <w:t>cylinders that</w:t>
      </w:r>
      <w:r w:rsidRPr="00E10BA4">
        <w:rPr>
          <w:rFonts w:ascii="Arial" w:hAnsi="Arial" w:cs="Arial"/>
        </w:rPr>
        <w:t xml:space="preserve"> are in use.</w:t>
      </w:r>
      <w:r w:rsidR="00D63D87" w:rsidRPr="00E10BA4">
        <w:rPr>
          <w:rFonts w:ascii="Arial" w:hAnsi="Arial" w:cs="Arial"/>
        </w:rPr>
        <w:t xml:space="preserve"> </w:t>
      </w:r>
    </w:p>
    <w:p w14:paraId="209EC042" w14:textId="77777777" w:rsidR="00E10BA4" w:rsidRPr="00E10BA4" w:rsidRDefault="00E10BA4" w:rsidP="00E10BA4">
      <w:pPr>
        <w:pStyle w:val="ListParagraph"/>
        <w:spacing w:after="0" w:line="276" w:lineRule="auto"/>
        <w:ind w:left="284"/>
        <w:jc w:val="both"/>
        <w:rPr>
          <w:rFonts w:ascii="Arial" w:hAnsi="Arial" w:cs="Arial"/>
        </w:rPr>
      </w:pPr>
    </w:p>
    <w:p w14:paraId="1C6DA3B9" w14:textId="77777777" w:rsidR="00CB5AE0" w:rsidRPr="00E10BA4" w:rsidRDefault="00CB5AE0" w:rsidP="00E10BA4">
      <w:pPr>
        <w:pStyle w:val="Heading2"/>
        <w:spacing w:before="120" w:line="276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E10BA4">
        <w:rPr>
          <w:rFonts w:ascii="Arial" w:hAnsi="Arial" w:cs="Arial"/>
          <w:b/>
          <w:color w:val="1F3864" w:themeColor="accent5" w:themeShade="80"/>
        </w:rPr>
        <w:t>Disposal:</w:t>
      </w:r>
    </w:p>
    <w:p w14:paraId="5E919133" w14:textId="5509D8A4" w:rsidR="007D5530" w:rsidRDefault="007D5530" w:rsidP="00E10BA4">
      <w:pPr>
        <w:spacing w:after="0" w:line="276" w:lineRule="auto"/>
        <w:rPr>
          <w:rFonts w:ascii="Arial" w:hAnsi="Arial" w:cs="Arial"/>
        </w:rPr>
      </w:pPr>
      <w:r w:rsidRPr="00E10BA4">
        <w:rPr>
          <w:rFonts w:ascii="Arial" w:hAnsi="Arial" w:cs="Arial"/>
        </w:rPr>
        <w:t>Empty cylinders should be labelled as such and returned to the supplier. If not possible</w:t>
      </w:r>
      <w:r w:rsidR="00E10BA4">
        <w:rPr>
          <w:rFonts w:ascii="Arial" w:hAnsi="Arial" w:cs="Arial"/>
        </w:rPr>
        <w:t>,</w:t>
      </w:r>
      <w:r w:rsidRPr="00E10BA4">
        <w:rPr>
          <w:rFonts w:ascii="Arial" w:hAnsi="Arial" w:cs="Arial"/>
        </w:rPr>
        <w:t xml:space="preserve"> they should be disposed of as hazardous waste.</w:t>
      </w:r>
      <w:r w:rsidR="001246EB" w:rsidRPr="00E10BA4">
        <w:rPr>
          <w:rFonts w:ascii="Arial" w:hAnsi="Arial" w:cs="Arial"/>
        </w:rPr>
        <w:t xml:space="preserve">  BOC will collect </w:t>
      </w:r>
      <w:r w:rsidR="00E10BA4">
        <w:rPr>
          <w:rFonts w:ascii="Arial" w:hAnsi="Arial" w:cs="Arial"/>
        </w:rPr>
        <w:t xml:space="preserve">any </w:t>
      </w:r>
      <w:r w:rsidR="001246EB" w:rsidRPr="00E10BA4">
        <w:rPr>
          <w:rFonts w:ascii="Arial" w:hAnsi="Arial" w:cs="Arial"/>
        </w:rPr>
        <w:t xml:space="preserve">cylinders </w:t>
      </w:r>
      <w:r w:rsidR="00E10BA4">
        <w:rPr>
          <w:rFonts w:ascii="Arial" w:hAnsi="Arial" w:cs="Arial"/>
        </w:rPr>
        <w:t xml:space="preserve">that </w:t>
      </w:r>
      <w:r w:rsidR="001246EB" w:rsidRPr="00E10BA4">
        <w:rPr>
          <w:rFonts w:ascii="Arial" w:hAnsi="Arial" w:cs="Arial"/>
        </w:rPr>
        <w:t>they have supplied.</w:t>
      </w:r>
    </w:p>
    <w:p w14:paraId="325B8002" w14:textId="77777777" w:rsidR="00E10BA4" w:rsidRPr="00E10BA4" w:rsidRDefault="00E10BA4" w:rsidP="00E10BA4">
      <w:pPr>
        <w:spacing w:after="0" w:line="276" w:lineRule="auto"/>
        <w:rPr>
          <w:rFonts w:ascii="Arial" w:eastAsiaTheme="majorEastAsia" w:hAnsi="Arial" w:cs="Arial"/>
          <w:color w:val="2E74B5" w:themeColor="accent1" w:themeShade="BF"/>
        </w:rPr>
      </w:pPr>
    </w:p>
    <w:p w14:paraId="13F32C61" w14:textId="2DDB801A" w:rsidR="0064081A" w:rsidRPr="00E10BA4" w:rsidRDefault="00CB5AE0" w:rsidP="00E10BA4">
      <w:pPr>
        <w:pStyle w:val="Heading2"/>
        <w:spacing w:before="120" w:line="276" w:lineRule="auto"/>
        <w:jc w:val="both"/>
        <w:rPr>
          <w:rFonts w:ascii="Arial" w:hAnsi="Arial" w:cs="Arial"/>
          <w:color w:val="1F3864" w:themeColor="accent5" w:themeShade="80"/>
        </w:rPr>
      </w:pPr>
      <w:r w:rsidRPr="00E10BA4">
        <w:rPr>
          <w:rFonts w:ascii="Arial" w:hAnsi="Arial" w:cs="Arial"/>
          <w:b/>
          <w:bCs/>
          <w:color w:val="1F3864" w:themeColor="accent5" w:themeShade="80"/>
        </w:rPr>
        <w:t>Personal Protective Equipment</w:t>
      </w:r>
      <w:r w:rsidR="00437CA9" w:rsidRPr="00E10BA4">
        <w:rPr>
          <w:rFonts w:ascii="Arial" w:hAnsi="Arial" w:cs="Arial"/>
          <w:b/>
          <w:bCs/>
          <w:color w:val="1F3864" w:themeColor="accent5" w:themeShade="80"/>
        </w:rPr>
        <w:t xml:space="preserve"> (PPE)</w:t>
      </w:r>
      <w:r w:rsidRPr="00E10BA4">
        <w:rPr>
          <w:rFonts w:ascii="Arial" w:hAnsi="Arial" w:cs="Arial"/>
          <w:b/>
          <w:bCs/>
          <w:color w:val="1F3864" w:themeColor="accent5" w:themeShade="80"/>
        </w:rPr>
        <w:t>:</w:t>
      </w:r>
      <w:r w:rsidRPr="00E10BA4">
        <w:rPr>
          <w:rFonts w:ascii="Arial" w:hAnsi="Arial" w:cs="Arial"/>
          <w:color w:val="1F3864" w:themeColor="accent5" w:themeShade="80"/>
        </w:rPr>
        <w:t xml:space="preserve"> </w:t>
      </w:r>
    </w:p>
    <w:p w14:paraId="15A66C2F" w14:textId="08202134" w:rsidR="00E10BA4" w:rsidRDefault="00920F1F" w:rsidP="00E10BA4">
      <w:pPr>
        <w:spacing w:line="276" w:lineRule="auto"/>
        <w:rPr>
          <w:rFonts w:ascii="Arial" w:hAnsi="Arial" w:cs="Arial"/>
        </w:rPr>
      </w:pPr>
      <w:r w:rsidRPr="00E10BA4">
        <w:rPr>
          <w:rFonts w:ascii="Arial" w:hAnsi="Arial" w:cs="Arial"/>
        </w:rPr>
        <w:t>Lab</w:t>
      </w:r>
      <w:r w:rsidR="00E10BA4">
        <w:rPr>
          <w:rFonts w:ascii="Arial" w:hAnsi="Arial" w:cs="Arial"/>
        </w:rPr>
        <w:t xml:space="preserve"> </w:t>
      </w:r>
      <w:r w:rsidRPr="00E10BA4">
        <w:rPr>
          <w:rFonts w:ascii="Arial" w:hAnsi="Arial" w:cs="Arial"/>
        </w:rPr>
        <w:t>coat</w:t>
      </w:r>
      <w:r w:rsidR="00E44D1C" w:rsidRPr="00E10BA4">
        <w:rPr>
          <w:rFonts w:ascii="Arial" w:hAnsi="Arial" w:cs="Arial"/>
        </w:rPr>
        <w:t xml:space="preserve">, </w:t>
      </w:r>
      <w:r w:rsidR="00EF2AF8" w:rsidRPr="00E10BA4">
        <w:rPr>
          <w:rFonts w:ascii="Arial" w:hAnsi="Arial" w:cs="Arial"/>
        </w:rPr>
        <w:t xml:space="preserve">appropriate </w:t>
      </w:r>
      <w:r w:rsidR="00E44D1C" w:rsidRPr="00E10BA4">
        <w:rPr>
          <w:rFonts w:ascii="Arial" w:hAnsi="Arial" w:cs="Arial"/>
        </w:rPr>
        <w:t>gloves, safety glasses</w:t>
      </w:r>
    </w:p>
    <w:p w14:paraId="53A67106" w14:textId="77777777" w:rsidR="00E10BA4" w:rsidRPr="00E10BA4" w:rsidRDefault="00E10BA4" w:rsidP="00E10BA4">
      <w:pPr>
        <w:spacing w:line="276" w:lineRule="auto"/>
        <w:rPr>
          <w:rFonts w:ascii="Arial" w:hAnsi="Arial" w:cs="Arial"/>
          <w:sz w:val="10"/>
        </w:rPr>
      </w:pPr>
    </w:p>
    <w:p w14:paraId="3EB151DA" w14:textId="00FAE434" w:rsidR="00CB5AE0" w:rsidRPr="00E10BA4" w:rsidRDefault="00CB5AE0" w:rsidP="00E10BA4">
      <w:pPr>
        <w:pStyle w:val="Heading2"/>
        <w:spacing w:before="120" w:line="276" w:lineRule="auto"/>
        <w:rPr>
          <w:rFonts w:ascii="Arial" w:hAnsi="Arial" w:cs="Arial"/>
          <w:b/>
          <w:color w:val="1F3864" w:themeColor="accent5" w:themeShade="80"/>
        </w:rPr>
      </w:pPr>
      <w:r w:rsidRPr="00E10BA4">
        <w:rPr>
          <w:rFonts w:ascii="Arial" w:hAnsi="Arial" w:cs="Arial"/>
          <w:b/>
          <w:color w:val="1F3864" w:themeColor="accent5" w:themeShade="80"/>
        </w:rPr>
        <w:t>Risk Analysis of SOP</w:t>
      </w:r>
      <w:r w:rsidR="007E1772" w:rsidRPr="00E10BA4">
        <w:rPr>
          <w:rFonts w:ascii="Arial" w:hAnsi="Arial" w:cs="Arial"/>
          <w:b/>
          <w:color w:val="1F3864" w:themeColor="accent5" w:themeShade="80"/>
        </w:rPr>
        <w:t xml:space="preserve"> and emergency procedures</w:t>
      </w:r>
      <w:r w:rsidR="004A41A5" w:rsidRPr="00E10BA4">
        <w:rPr>
          <w:rFonts w:ascii="Arial" w:hAnsi="Arial" w:cs="Arial"/>
          <w:b/>
          <w:color w:val="1F3864" w:themeColor="accent5" w:themeShade="80"/>
        </w:rPr>
        <w:t>:</w:t>
      </w:r>
    </w:p>
    <w:p w14:paraId="7D029C0F" w14:textId="6982BBB9" w:rsidR="00E10BA4" w:rsidRDefault="00860EB3" w:rsidP="00E10BA4">
      <w:pPr>
        <w:spacing w:after="0" w:line="276" w:lineRule="auto"/>
        <w:rPr>
          <w:rFonts w:ascii="Arial" w:hAnsi="Arial" w:cs="Arial"/>
          <w:color w:val="2E74B5"/>
        </w:rPr>
      </w:pPr>
      <w:r>
        <w:rPr>
          <w:rFonts w:ascii="Arial" w:hAnsi="Arial" w:cs="Arial"/>
          <w:color w:val="2E74B5"/>
        </w:rPr>
        <w:t xml:space="preserve">(In addition to </w:t>
      </w:r>
      <w:hyperlink r:id="rId16" w:history="1">
        <w:r>
          <w:rPr>
            <w:rFonts w:ascii="Arial" w:hAnsi="Arial" w:cs="Arial"/>
            <w:color w:val="0000FF"/>
            <w:u w:val="single"/>
          </w:rPr>
          <w:t>Safe Lab Practice</w:t>
        </w:r>
      </w:hyperlink>
      <w:r>
        <w:rPr>
          <w:rFonts w:ascii="Arial" w:hAnsi="Arial" w:cs="Arial"/>
          <w:color w:val="2E74B5"/>
        </w:rPr>
        <w:t>)</w:t>
      </w:r>
    </w:p>
    <w:p w14:paraId="57688D95" w14:textId="77777777" w:rsidR="00860EB3" w:rsidRPr="00E10BA4" w:rsidRDefault="00860EB3" w:rsidP="00E10BA4">
      <w:pPr>
        <w:spacing w:after="0" w:line="276" w:lineRule="auto"/>
        <w:rPr>
          <w:rFonts w:ascii="Arial" w:eastAsiaTheme="majorEastAsia" w:hAnsi="Arial" w:cs="Arial"/>
          <w:color w:val="2E74B5" w:themeColor="accent1" w:themeShade="BF"/>
        </w:rPr>
      </w:pPr>
    </w:p>
    <w:p w14:paraId="3F7F1E85" w14:textId="1F9AB949" w:rsidR="00E943F6" w:rsidRPr="00E10BA4" w:rsidRDefault="00E943F6" w:rsidP="00E10BA4">
      <w:pPr>
        <w:pStyle w:val="Heading3"/>
        <w:spacing w:line="276" w:lineRule="auto"/>
        <w:rPr>
          <w:rFonts w:ascii="Arial" w:hAnsi="Arial" w:cs="Arial"/>
          <w:b/>
          <w:color w:val="FF0000"/>
        </w:rPr>
      </w:pPr>
      <w:r w:rsidRPr="00E10BA4">
        <w:rPr>
          <w:rFonts w:ascii="Arial" w:hAnsi="Arial" w:cs="Arial"/>
          <w:b/>
          <w:color w:val="FF0000"/>
        </w:rPr>
        <w:t>Always remember to include fire associated risks and control measures where appropriate</w:t>
      </w:r>
    </w:p>
    <w:tbl>
      <w:tblPr>
        <w:tblStyle w:val="TableGrid"/>
        <w:tblW w:w="5028" w:type="pct"/>
        <w:tblLayout w:type="fixed"/>
        <w:tblLook w:val="04A0" w:firstRow="1" w:lastRow="0" w:firstColumn="1" w:lastColumn="0" w:noHBand="0" w:noVBand="1"/>
      </w:tblPr>
      <w:tblGrid>
        <w:gridCol w:w="1555"/>
        <w:gridCol w:w="1653"/>
        <w:gridCol w:w="4725"/>
        <w:gridCol w:w="1858"/>
      </w:tblGrid>
      <w:tr w:rsidR="00234767" w:rsidRPr="00E10BA4" w14:paraId="000F92EA" w14:textId="77777777" w:rsidTr="00E10BA4">
        <w:tc>
          <w:tcPr>
            <w:tcW w:w="794" w:type="pct"/>
            <w:shd w:val="clear" w:color="auto" w:fill="1F3864" w:themeFill="accent5" w:themeFillShade="80"/>
          </w:tcPr>
          <w:p w14:paraId="4F15C106" w14:textId="77777777" w:rsidR="00234767" w:rsidRPr="00E10BA4" w:rsidRDefault="00234767" w:rsidP="00E10B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Hazard</w:t>
            </w:r>
          </w:p>
        </w:tc>
        <w:tc>
          <w:tcPr>
            <w:tcW w:w="844" w:type="pct"/>
            <w:shd w:val="clear" w:color="auto" w:fill="1F3864" w:themeFill="accent5" w:themeFillShade="80"/>
          </w:tcPr>
          <w:p w14:paraId="109AEE1B" w14:textId="77777777" w:rsidR="00234767" w:rsidRPr="00E10BA4" w:rsidRDefault="00234767" w:rsidP="00E10B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Raw risks</w:t>
            </w:r>
          </w:p>
        </w:tc>
        <w:tc>
          <w:tcPr>
            <w:tcW w:w="2413" w:type="pct"/>
            <w:shd w:val="clear" w:color="auto" w:fill="1F3864" w:themeFill="accent5" w:themeFillShade="80"/>
          </w:tcPr>
          <w:p w14:paraId="22AD3D01" w14:textId="77777777" w:rsidR="00234767" w:rsidRPr="00E10BA4" w:rsidRDefault="00234767" w:rsidP="00E10B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Current control measures</w:t>
            </w:r>
          </w:p>
        </w:tc>
        <w:tc>
          <w:tcPr>
            <w:tcW w:w="949" w:type="pct"/>
            <w:shd w:val="clear" w:color="auto" w:fill="1F3864" w:themeFill="accent5" w:themeFillShade="80"/>
          </w:tcPr>
          <w:p w14:paraId="6B0A15DE" w14:textId="77777777" w:rsidR="00234767" w:rsidRPr="00E10BA4" w:rsidRDefault="00234767" w:rsidP="00E10B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Residual risk</w:t>
            </w:r>
          </w:p>
          <w:p w14:paraId="7CF5E2ED" w14:textId="77777777" w:rsidR="00234767" w:rsidRPr="00E10BA4" w:rsidRDefault="00234767" w:rsidP="00E10B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(Low/Med/High)</w:t>
            </w:r>
          </w:p>
        </w:tc>
      </w:tr>
      <w:tr w:rsidR="007D5530" w:rsidRPr="00E10BA4" w14:paraId="018B1AE3" w14:textId="77777777" w:rsidTr="00E10BA4">
        <w:tc>
          <w:tcPr>
            <w:tcW w:w="794" w:type="pct"/>
          </w:tcPr>
          <w:p w14:paraId="2B089E35" w14:textId="77777777" w:rsidR="007D5530" w:rsidRPr="00E10BA4" w:rsidRDefault="007D5530" w:rsidP="00E10B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Compressed gasses</w:t>
            </w:r>
          </w:p>
        </w:tc>
        <w:tc>
          <w:tcPr>
            <w:tcW w:w="844" w:type="pct"/>
          </w:tcPr>
          <w:p w14:paraId="04AA1A9A" w14:textId="77777777" w:rsidR="007D5530" w:rsidRPr="00E10BA4" w:rsidRDefault="007D5530" w:rsidP="00E10B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Explosion, fire, gas release</w:t>
            </w:r>
          </w:p>
        </w:tc>
        <w:tc>
          <w:tcPr>
            <w:tcW w:w="2413" w:type="pct"/>
          </w:tcPr>
          <w:p w14:paraId="6886D703" w14:textId="2DBE870D" w:rsidR="007D5530" w:rsidRPr="00E10BA4" w:rsidRDefault="007D5530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Ensure cylinders in use have an appropriate regulator for the gas </w:t>
            </w:r>
            <w:r w:rsidR="00E10BA4">
              <w:rPr>
                <w:rFonts w:ascii="Arial" w:hAnsi="Arial" w:cs="Arial"/>
              </w:rPr>
              <w:t xml:space="preserve">type </w:t>
            </w:r>
            <w:r w:rsidRPr="00E10BA4">
              <w:rPr>
                <w:rFonts w:ascii="Arial" w:hAnsi="Arial" w:cs="Arial"/>
              </w:rPr>
              <w:t xml:space="preserve">and pressure and that the regulator is serviced and maintained as per the </w:t>
            </w:r>
            <w:hyperlink r:id="rId17" w:history="1">
              <w:r w:rsidR="00656F01" w:rsidRPr="00E10BA4">
                <w:rPr>
                  <w:rStyle w:val="Hyperlink"/>
                  <w:rFonts w:ascii="Arial" w:hAnsi="Arial" w:cs="Arial"/>
                </w:rPr>
                <w:t xml:space="preserve">Imperial </w:t>
              </w:r>
              <w:r w:rsidR="001246EB" w:rsidRPr="00E10BA4">
                <w:rPr>
                  <w:rStyle w:val="Hyperlink"/>
                  <w:rFonts w:ascii="Arial" w:hAnsi="Arial" w:cs="Arial"/>
                </w:rPr>
                <w:t>College Code of Practice on Compressed Gases</w:t>
              </w:r>
            </w:hyperlink>
            <w:r w:rsidRPr="00E10BA4">
              <w:rPr>
                <w:rFonts w:ascii="Arial" w:hAnsi="Arial" w:cs="Arial"/>
              </w:rPr>
              <w:t>.</w:t>
            </w:r>
          </w:p>
          <w:p w14:paraId="72B586CC" w14:textId="3B0BA3BA" w:rsidR="007D5530" w:rsidRPr="00E10BA4" w:rsidRDefault="007D5530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Ensure cylinders of flammable gas</w:t>
            </w:r>
            <w:r w:rsidR="00E10BA4">
              <w:rPr>
                <w:rFonts w:ascii="Arial" w:hAnsi="Arial" w:cs="Arial"/>
              </w:rPr>
              <w:t>es</w:t>
            </w:r>
            <w:r w:rsidRPr="00E10BA4">
              <w:rPr>
                <w:rFonts w:ascii="Arial" w:hAnsi="Arial" w:cs="Arial"/>
              </w:rPr>
              <w:t xml:space="preserve"> (or mixtures) have suitable flash back arrestors fitted. If </w:t>
            </w:r>
            <w:r w:rsidR="00E10BA4">
              <w:rPr>
                <w:rFonts w:ascii="Arial" w:hAnsi="Arial" w:cs="Arial"/>
              </w:rPr>
              <w:t xml:space="preserve">these are </w:t>
            </w:r>
            <w:r w:rsidRPr="00E10BA4">
              <w:rPr>
                <w:rFonts w:ascii="Arial" w:hAnsi="Arial" w:cs="Arial"/>
              </w:rPr>
              <w:t>reusable</w:t>
            </w:r>
            <w:r w:rsidR="00E10BA4">
              <w:rPr>
                <w:rFonts w:ascii="Arial" w:hAnsi="Arial" w:cs="Arial"/>
              </w:rPr>
              <w:t>,</w:t>
            </w:r>
            <w:r w:rsidRPr="00E10BA4">
              <w:rPr>
                <w:rFonts w:ascii="Arial" w:hAnsi="Arial" w:cs="Arial"/>
              </w:rPr>
              <w:t xml:space="preserve"> the</w:t>
            </w:r>
            <w:r w:rsidR="00E10BA4">
              <w:rPr>
                <w:rFonts w:ascii="Arial" w:hAnsi="Arial" w:cs="Arial"/>
              </w:rPr>
              <w:t>y</w:t>
            </w:r>
            <w:r w:rsidRPr="00E10BA4">
              <w:rPr>
                <w:rFonts w:ascii="Arial" w:hAnsi="Arial" w:cs="Arial"/>
              </w:rPr>
              <w:t xml:space="preserve"> must be serviced and maintained as per </w:t>
            </w:r>
            <w:r w:rsidR="000B52A0">
              <w:rPr>
                <w:rFonts w:ascii="Arial" w:hAnsi="Arial" w:cs="Arial"/>
              </w:rPr>
              <w:t xml:space="preserve">the </w:t>
            </w:r>
            <w:r w:rsidRPr="00E10BA4">
              <w:rPr>
                <w:rFonts w:ascii="Arial" w:hAnsi="Arial" w:cs="Arial"/>
              </w:rPr>
              <w:t>manufacturer’s instructions.</w:t>
            </w:r>
          </w:p>
          <w:p w14:paraId="39014568" w14:textId="38801945" w:rsidR="007D5530" w:rsidRPr="00E10BA4" w:rsidRDefault="007D5530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Those changing regulators on cylinders have to attend the College course on </w:t>
            </w:r>
            <w:r w:rsidR="00E10BA4">
              <w:rPr>
                <w:rFonts w:ascii="Arial" w:hAnsi="Arial" w:cs="Arial"/>
              </w:rPr>
              <w:t>c</w:t>
            </w:r>
            <w:r w:rsidRPr="00E10BA4">
              <w:rPr>
                <w:rFonts w:ascii="Arial" w:hAnsi="Arial" w:cs="Arial"/>
              </w:rPr>
              <w:t>ompressed gases and connecting regulators.</w:t>
            </w:r>
          </w:p>
          <w:p w14:paraId="00D08605" w14:textId="77777777" w:rsidR="007D5530" w:rsidRPr="00E10BA4" w:rsidRDefault="007D5530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Ensure all tubing and connections are appropriate and secure to prevent leakage of gases.</w:t>
            </w:r>
          </w:p>
          <w:p w14:paraId="7DEDB4D7" w14:textId="1A2B518C" w:rsidR="007D5530" w:rsidRPr="00E10BA4" w:rsidRDefault="007D5530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Secure compressed gas cylinders using an appropriate brace or similar </w:t>
            </w:r>
            <w:r w:rsidR="003A2989" w:rsidRPr="00E10BA4">
              <w:rPr>
                <w:rFonts w:ascii="Arial" w:hAnsi="Arial" w:cs="Arial"/>
              </w:rPr>
              <w:t xml:space="preserve">to </w:t>
            </w:r>
            <w:r w:rsidRPr="00E10BA4">
              <w:rPr>
                <w:rFonts w:ascii="Arial" w:hAnsi="Arial" w:cs="Arial"/>
              </w:rPr>
              <w:t xml:space="preserve">prevent </w:t>
            </w:r>
            <w:r w:rsidRPr="00E10BA4">
              <w:rPr>
                <w:rFonts w:ascii="Arial" w:hAnsi="Arial" w:cs="Arial"/>
              </w:rPr>
              <w:lastRenderedPageBreak/>
              <w:t xml:space="preserve">toppling. </w:t>
            </w:r>
          </w:p>
          <w:p w14:paraId="233F90C5" w14:textId="77777777" w:rsidR="007D5530" w:rsidRPr="00E10BA4" w:rsidRDefault="007D5530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Ensure numbers of cylinders in lab areas are kept to the minimum required for the experiment.</w:t>
            </w:r>
          </w:p>
          <w:p w14:paraId="58A1A85C" w14:textId="0AA9E073" w:rsidR="007D5530" w:rsidRPr="00E10BA4" w:rsidRDefault="007D5530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Ensure </w:t>
            </w:r>
            <w:r w:rsidR="00E10BA4">
              <w:rPr>
                <w:rFonts w:ascii="Arial" w:hAnsi="Arial" w:cs="Arial"/>
              </w:rPr>
              <w:t xml:space="preserve">that the </w:t>
            </w:r>
            <w:r w:rsidRPr="00E10BA4">
              <w:rPr>
                <w:rFonts w:ascii="Arial" w:hAnsi="Arial" w:cs="Arial"/>
              </w:rPr>
              <w:t xml:space="preserve">smallest </w:t>
            </w:r>
            <w:r w:rsidR="00E10BA4">
              <w:rPr>
                <w:rFonts w:ascii="Arial" w:hAnsi="Arial" w:cs="Arial"/>
              </w:rPr>
              <w:t xml:space="preserve">practicable </w:t>
            </w:r>
            <w:r w:rsidRPr="00E10BA4">
              <w:rPr>
                <w:rFonts w:ascii="Arial" w:hAnsi="Arial" w:cs="Arial"/>
              </w:rPr>
              <w:t xml:space="preserve">size of cylinder for </w:t>
            </w:r>
            <w:r w:rsidR="00E10BA4">
              <w:rPr>
                <w:rFonts w:ascii="Arial" w:hAnsi="Arial" w:cs="Arial"/>
              </w:rPr>
              <w:t xml:space="preserve">the </w:t>
            </w:r>
            <w:r w:rsidRPr="00E10BA4">
              <w:rPr>
                <w:rFonts w:ascii="Arial" w:hAnsi="Arial" w:cs="Arial"/>
              </w:rPr>
              <w:t>work is used in the lab area.</w:t>
            </w:r>
          </w:p>
          <w:p w14:paraId="34042BCF" w14:textId="1F2298A9" w:rsidR="007D5530" w:rsidRPr="00E10BA4" w:rsidRDefault="007D5530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Store compressed gas cylinders away from heat sources,</w:t>
            </w:r>
            <w:r w:rsidR="00453DDD" w:rsidRPr="00E10BA4">
              <w:rPr>
                <w:rFonts w:ascii="Arial" w:hAnsi="Arial" w:cs="Arial"/>
              </w:rPr>
              <w:t xml:space="preserve"> </w:t>
            </w:r>
            <w:r w:rsidRPr="00E10BA4">
              <w:rPr>
                <w:rFonts w:ascii="Arial" w:hAnsi="Arial" w:cs="Arial"/>
              </w:rPr>
              <w:t xml:space="preserve">flammable and highly combustible materials (such as oil and greases) and </w:t>
            </w:r>
            <w:r w:rsidR="00E10BA4">
              <w:rPr>
                <w:rFonts w:ascii="Arial" w:hAnsi="Arial" w:cs="Arial"/>
              </w:rPr>
              <w:t xml:space="preserve">any </w:t>
            </w:r>
            <w:r w:rsidRPr="00E10BA4">
              <w:rPr>
                <w:rFonts w:ascii="Arial" w:hAnsi="Arial" w:cs="Arial"/>
              </w:rPr>
              <w:t>exit points</w:t>
            </w:r>
            <w:r w:rsidR="00E10BA4">
              <w:rPr>
                <w:rFonts w:ascii="Arial" w:hAnsi="Arial" w:cs="Arial"/>
              </w:rPr>
              <w:t>,</w:t>
            </w:r>
            <w:r w:rsidR="005D706A" w:rsidRPr="00E10BA4">
              <w:rPr>
                <w:rFonts w:ascii="Arial" w:hAnsi="Arial" w:cs="Arial"/>
              </w:rPr>
              <w:t xml:space="preserve"> and s</w:t>
            </w:r>
            <w:r w:rsidRPr="00E10BA4">
              <w:rPr>
                <w:rFonts w:ascii="Arial" w:hAnsi="Arial" w:cs="Arial"/>
              </w:rPr>
              <w:t>egregate</w:t>
            </w:r>
            <w:r w:rsidR="005D706A" w:rsidRPr="00E10BA4">
              <w:rPr>
                <w:rFonts w:ascii="Arial" w:hAnsi="Arial" w:cs="Arial"/>
              </w:rPr>
              <w:t>d</w:t>
            </w:r>
            <w:r w:rsidRPr="00E10BA4">
              <w:rPr>
                <w:rFonts w:ascii="Arial" w:hAnsi="Arial" w:cs="Arial"/>
              </w:rPr>
              <w:t xml:space="preserve"> according to hazard class and chemical compatibility. Ensure </w:t>
            </w:r>
            <w:r w:rsidR="00E10BA4">
              <w:rPr>
                <w:rFonts w:ascii="Arial" w:hAnsi="Arial" w:cs="Arial"/>
              </w:rPr>
              <w:t xml:space="preserve">that </w:t>
            </w:r>
            <w:r w:rsidRPr="00E10BA4">
              <w:rPr>
                <w:rFonts w:ascii="Arial" w:hAnsi="Arial" w:cs="Arial"/>
              </w:rPr>
              <w:t>flammable and oxidizing gases</w:t>
            </w:r>
            <w:r w:rsidR="00E10BA4">
              <w:rPr>
                <w:rFonts w:ascii="Arial" w:hAnsi="Arial" w:cs="Arial"/>
              </w:rPr>
              <w:t xml:space="preserve"> are separated</w:t>
            </w:r>
            <w:r w:rsidRPr="00E10BA4">
              <w:rPr>
                <w:rFonts w:ascii="Arial" w:hAnsi="Arial" w:cs="Arial"/>
              </w:rPr>
              <w:t>.</w:t>
            </w:r>
          </w:p>
          <w:p w14:paraId="1F117593" w14:textId="7F142277" w:rsidR="007D5530" w:rsidRPr="00E10BA4" w:rsidRDefault="007D5530" w:rsidP="00E10BA4">
            <w:pPr>
              <w:widowControl w:val="0"/>
              <w:spacing w:after="120" w:line="276" w:lineRule="auto"/>
              <w:jc w:val="both"/>
              <w:rPr>
                <w:rFonts w:ascii="Arial" w:eastAsiaTheme="majorEastAsia" w:hAnsi="Arial" w:cs="Arial"/>
              </w:rPr>
            </w:pPr>
            <w:r w:rsidRPr="00E10BA4">
              <w:rPr>
                <w:rFonts w:ascii="Arial" w:hAnsi="Arial" w:cs="Arial"/>
              </w:rPr>
              <w:t>Store flammable gases away from flammable solvents, combustible material</w:t>
            </w:r>
            <w:r w:rsidR="00E10BA4">
              <w:rPr>
                <w:rFonts w:ascii="Arial" w:hAnsi="Arial" w:cs="Arial"/>
              </w:rPr>
              <w:t>s</w:t>
            </w:r>
            <w:r w:rsidRPr="00E10BA4">
              <w:rPr>
                <w:rFonts w:ascii="Arial" w:hAnsi="Arial" w:cs="Arial"/>
              </w:rPr>
              <w:t xml:space="preserve">, ignition sources (including unprotected electrical connections), and oxygen gas cylinders and liquid oxygen (at least 20 feet if possible). Additionally, follow all substance-specific storage guidance provided in </w:t>
            </w:r>
            <w:r w:rsidR="00453DDD" w:rsidRPr="00E10BA4">
              <w:rPr>
                <w:rFonts w:ascii="Arial" w:hAnsi="Arial" w:cs="Arial"/>
              </w:rPr>
              <w:t>safety data sheet (</w:t>
            </w:r>
            <w:r w:rsidR="00656F01" w:rsidRPr="00E10BA4">
              <w:rPr>
                <w:rFonts w:ascii="Arial" w:hAnsi="Arial" w:cs="Arial"/>
              </w:rPr>
              <w:t>MSDS/</w:t>
            </w:r>
            <w:r w:rsidR="00453DDD" w:rsidRPr="00E10BA4">
              <w:rPr>
                <w:rFonts w:ascii="Arial" w:hAnsi="Arial" w:cs="Arial"/>
              </w:rPr>
              <w:t>SDS)</w:t>
            </w:r>
            <w:r w:rsidRPr="00E10BA4">
              <w:rPr>
                <w:rFonts w:ascii="Arial" w:hAnsi="Arial" w:cs="Arial"/>
              </w:rPr>
              <w:t xml:space="preserve"> documentation.</w:t>
            </w:r>
          </w:p>
          <w:p w14:paraId="03E92ECD" w14:textId="030A3973" w:rsidR="00453DDD" w:rsidRPr="00E10BA4" w:rsidRDefault="00453DDD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Immediately replace any damaged or defective regulator.</w:t>
            </w:r>
          </w:p>
          <w:p w14:paraId="76AD9B67" w14:textId="472F416B" w:rsidR="00453DDD" w:rsidRPr="00E10BA4" w:rsidRDefault="00453DDD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Keep regulators clean and undertake a visual inspection prior to </w:t>
            </w:r>
            <w:r w:rsidR="000B52A0">
              <w:rPr>
                <w:rFonts w:ascii="Arial" w:hAnsi="Arial" w:cs="Arial"/>
              </w:rPr>
              <w:t xml:space="preserve">each </w:t>
            </w:r>
            <w:r w:rsidRPr="00E10BA4">
              <w:rPr>
                <w:rFonts w:ascii="Arial" w:hAnsi="Arial" w:cs="Arial"/>
              </w:rPr>
              <w:t>use</w:t>
            </w:r>
            <w:r w:rsidR="000B52A0">
              <w:rPr>
                <w:rFonts w:ascii="Arial" w:hAnsi="Arial" w:cs="Arial"/>
              </w:rPr>
              <w:t>.</w:t>
            </w:r>
          </w:p>
          <w:p w14:paraId="1E7FE9E6" w14:textId="77777777" w:rsidR="00453DDD" w:rsidRPr="00E10BA4" w:rsidRDefault="00453DDD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Do not force any regulator that does not fit and do not attempt ‘home made’ repairs or modifications.</w:t>
            </w:r>
          </w:p>
          <w:p w14:paraId="6E795C4D" w14:textId="77777777" w:rsidR="00453DDD" w:rsidRPr="00E10BA4" w:rsidRDefault="00453DDD" w:rsidP="00E10BA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Do not use PTFE tape or jointing compounds on regulator threads in an attempt to seal leaks. These are designed to be metal-on-metal connections and if fitted properly should not result in leaks. If a satisfactory connection cannot be made, contact a BOC representative.</w:t>
            </w:r>
          </w:p>
          <w:p w14:paraId="7BD845EA" w14:textId="08CB9496" w:rsidR="00453DDD" w:rsidRPr="00E10BA4" w:rsidRDefault="00453DDD" w:rsidP="000B52A0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Regulators must be replaced or refurbished every 5 years (every 2 years for corrosive gases)</w:t>
            </w:r>
            <w:r w:rsidR="000B52A0">
              <w:rPr>
                <w:rFonts w:ascii="Arial" w:hAnsi="Arial" w:cs="Arial"/>
              </w:rPr>
              <w:t>, d</w:t>
            </w:r>
            <w:r w:rsidRPr="00E10BA4">
              <w:rPr>
                <w:rFonts w:ascii="Arial" w:hAnsi="Arial" w:cs="Arial"/>
              </w:rPr>
              <w:t>ue to the potential for time-related deterioration of the internal components.</w:t>
            </w:r>
          </w:p>
        </w:tc>
        <w:tc>
          <w:tcPr>
            <w:tcW w:w="949" w:type="pct"/>
          </w:tcPr>
          <w:p w14:paraId="32FF2715" w14:textId="77777777" w:rsidR="007D5530" w:rsidRPr="00E10BA4" w:rsidRDefault="007D5530" w:rsidP="00E10B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lastRenderedPageBreak/>
              <w:t>Low</w:t>
            </w:r>
          </w:p>
        </w:tc>
      </w:tr>
      <w:tr w:rsidR="007D5530" w:rsidRPr="00E10BA4" w14:paraId="17C100A2" w14:textId="77777777" w:rsidTr="00E10BA4">
        <w:tc>
          <w:tcPr>
            <w:tcW w:w="794" w:type="pct"/>
          </w:tcPr>
          <w:p w14:paraId="50932A2A" w14:textId="23B52087" w:rsidR="007D5530" w:rsidRPr="00E10BA4" w:rsidRDefault="007D5530" w:rsidP="00E10B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Gas cylinders</w:t>
            </w:r>
          </w:p>
        </w:tc>
        <w:tc>
          <w:tcPr>
            <w:tcW w:w="844" w:type="pct"/>
          </w:tcPr>
          <w:p w14:paraId="38C573D6" w14:textId="1CF69F24" w:rsidR="007D5530" w:rsidRPr="00E10BA4" w:rsidRDefault="007D5530" w:rsidP="000B52A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Risk of injury </w:t>
            </w:r>
            <w:r w:rsidR="000B52A0">
              <w:rPr>
                <w:rFonts w:ascii="Arial" w:hAnsi="Arial" w:cs="Arial"/>
              </w:rPr>
              <w:t>during</w:t>
            </w:r>
            <w:r w:rsidRPr="00E10BA4">
              <w:rPr>
                <w:rFonts w:ascii="Arial" w:hAnsi="Arial" w:cs="Arial"/>
              </w:rPr>
              <w:t xml:space="preserve"> manual handling</w:t>
            </w:r>
          </w:p>
        </w:tc>
        <w:tc>
          <w:tcPr>
            <w:tcW w:w="2413" w:type="pct"/>
          </w:tcPr>
          <w:p w14:paraId="09F9B13C" w14:textId="483E0D38" w:rsidR="007D5530" w:rsidRPr="00E10BA4" w:rsidRDefault="007D5530" w:rsidP="00E10BA4">
            <w:pPr>
              <w:spacing w:after="120" w:line="276" w:lineRule="auto"/>
              <w:ind w:left="-37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Compressed gas cylinders must be transported using </w:t>
            </w:r>
            <w:r w:rsidR="000B52A0">
              <w:rPr>
                <w:rFonts w:ascii="Arial" w:hAnsi="Arial" w:cs="Arial"/>
              </w:rPr>
              <w:t>a suitable trolley</w:t>
            </w:r>
            <w:r w:rsidRPr="00E10BA4">
              <w:rPr>
                <w:rFonts w:ascii="Arial" w:hAnsi="Arial" w:cs="Arial"/>
              </w:rPr>
              <w:t xml:space="preserve"> that secure</w:t>
            </w:r>
            <w:r w:rsidR="000B52A0">
              <w:rPr>
                <w:rFonts w:ascii="Arial" w:hAnsi="Arial" w:cs="Arial"/>
              </w:rPr>
              <w:t>s</w:t>
            </w:r>
            <w:r w:rsidRPr="00E10BA4">
              <w:rPr>
                <w:rFonts w:ascii="Arial" w:hAnsi="Arial" w:cs="Arial"/>
              </w:rPr>
              <w:t xml:space="preserve"> the cylinder in place. </w:t>
            </w:r>
          </w:p>
          <w:p w14:paraId="4B111221" w14:textId="0C80ED29" w:rsidR="007D5530" w:rsidRPr="00E10BA4" w:rsidRDefault="007D5530" w:rsidP="00E10BA4">
            <w:pPr>
              <w:spacing w:after="120" w:line="276" w:lineRule="auto"/>
              <w:ind w:left="-37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lastRenderedPageBreak/>
              <w:t xml:space="preserve">Trolleys must be 3 or 4 wheel type and </w:t>
            </w:r>
            <w:r w:rsidR="003A2989" w:rsidRPr="00E10BA4">
              <w:rPr>
                <w:rFonts w:ascii="Arial" w:hAnsi="Arial" w:cs="Arial"/>
              </w:rPr>
              <w:t xml:space="preserve">of the </w:t>
            </w:r>
            <w:r w:rsidRPr="00E10BA4">
              <w:rPr>
                <w:rFonts w:ascii="Arial" w:hAnsi="Arial" w:cs="Arial"/>
              </w:rPr>
              <w:t>correct size</w:t>
            </w:r>
            <w:r w:rsidR="003A2989" w:rsidRPr="00E10BA4">
              <w:rPr>
                <w:rFonts w:ascii="Arial" w:hAnsi="Arial" w:cs="Arial"/>
              </w:rPr>
              <w:t xml:space="preserve"> for the cylinder concerned</w:t>
            </w:r>
            <w:r w:rsidR="005D706A" w:rsidRPr="00E10BA4">
              <w:rPr>
                <w:rFonts w:ascii="Arial" w:hAnsi="Arial" w:cs="Arial"/>
              </w:rPr>
              <w:t>.</w:t>
            </w:r>
          </w:p>
          <w:p w14:paraId="68F152D4" w14:textId="0269D821" w:rsidR="007D5530" w:rsidRPr="00E10BA4" w:rsidRDefault="007D5530" w:rsidP="00E10BA4">
            <w:pPr>
              <w:spacing w:after="120" w:line="276" w:lineRule="auto"/>
              <w:ind w:left="-37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BOC can deliver to point of use</w:t>
            </w:r>
            <w:r w:rsidR="000B52A0">
              <w:rPr>
                <w:rFonts w:ascii="Arial" w:hAnsi="Arial" w:cs="Arial"/>
              </w:rPr>
              <w:t>,</w:t>
            </w:r>
            <w:r w:rsidRPr="00E10BA4">
              <w:rPr>
                <w:rFonts w:ascii="Arial" w:hAnsi="Arial" w:cs="Arial"/>
              </w:rPr>
              <w:t xml:space="preserve"> avoiding the need for lab users to move the cylinders themselves.</w:t>
            </w:r>
          </w:p>
          <w:p w14:paraId="0D037CDD" w14:textId="77777777" w:rsidR="007D5530" w:rsidRPr="00E10BA4" w:rsidRDefault="007D5530" w:rsidP="00E10BA4">
            <w:pPr>
              <w:spacing w:after="120" w:line="276" w:lineRule="auto"/>
              <w:ind w:left="-37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Those moving cylinders need to attend the College manual handling course.</w:t>
            </w:r>
          </w:p>
        </w:tc>
        <w:tc>
          <w:tcPr>
            <w:tcW w:w="949" w:type="pct"/>
          </w:tcPr>
          <w:p w14:paraId="59D9E8B3" w14:textId="77777777" w:rsidR="007D5530" w:rsidRPr="00E10BA4" w:rsidRDefault="007D5530" w:rsidP="00E10B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lastRenderedPageBreak/>
              <w:t>Med</w:t>
            </w:r>
          </w:p>
        </w:tc>
      </w:tr>
    </w:tbl>
    <w:p w14:paraId="2FF0C462" w14:textId="642D4CF7" w:rsidR="00CB5AE0" w:rsidRPr="00E10BA4" w:rsidRDefault="00CB5AE0" w:rsidP="00E10BA4">
      <w:pPr>
        <w:spacing w:after="0" w:line="276" w:lineRule="auto"/>
        <w:rPr>
          <w:rFonts w:ascii="Arial" w:eastAsiaTheme="majorEastAsia" w:hAnsi="Arial" w:cs="Arial"/>
          <w:color w:val="2E74B5" w:themeColor="accent1" w:themeShade="B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43"/>
        <w:gridCol w:w="2393"/>
      </w:tblGrid>
      <w:tr w:rsidR="004A41A5" w:rsidRPr="00E10BA4" w14:paraId="2791F37F" w14:textId="77777777" w:rsidTr="00735225">
        <w:trPr>
          <w:trHeight w:val="237"/>
        </w:trPr>
        <w:tc>
          <w:tcPr>
            <w:tcW w:w="3771" w:type="pct"/>
            <w:shd w:val="clear" w:color="auto" w:fill="1F3864" w:themeFill="accent5" w:themeFillShade="80"/>
          </w:tcPr>
          <w:p w14:paraId="27999BDF" w14:textId="77777777" w:rsidR="004A41A5" w:rsidRPr="00E10BA4" w:rsidRDefault="004A41A5" w:rsidP="00E10BA4">
            <w:pPr>
              <w:spacing w:line="276" w:lineRule="auto"/>
              <w:rPr>
                <w:rFonts w:ascii="Arial" w:hAnsi="Arial" w:cs="Arial"/>
                <w:b/>
              </w:rPr>
            </w:pPr>
            <w:r w:rsidRPr="00E10BA4">
              <w:rPr>
                <w:rFonts w:ascii="Arial" w:hAnsi="Arial" w:cs="Arial"/>
                <w:b/>
              </w:rPr>
              <w:t>Additional control measures to minimise residual risks</w:t>
            </w:r>
          </w:p>
        </w:tc>
        <w:tc>
          <w:tcPr>
            <w:tcW w:w="1229" w:type="pct"/>
            <w:shd w:val="clear" w:color="auto" w:fill="1F3864" w:themeFill="accent5" w:themeFillShade="80"/>
          </w:tcPr>
          <w:p w14:paraId="42AAA53D" w14:textId="2C081F8D" w:rsidR="004A41A5" w:rsidRPr="00E10BA4" w:rsidRDefault="00735225" w:rsidP="00E10BA4">
            <w:pPr>
              <w:spacing w:line="276" w:lineRule="auto"/>
              <w:rPr>
                <w:rFonts w:ascii="Arial" w:hAnsi="Arial" w:cs="Arial"/>
                <w:b/>
              </w:rPr>
            </w:pPr>
            <w:r w:rsidRPr="00E10BA4">
              <w:rPr>
                <w:rFonts w:ascii="Arial" w:hAnsi="Arial" w:cs="Arial"/>
                <w:b/>
              </w:rPr>
              <w:t>Implementation date</w:t>
            </w:r>
          </w:p>
        </w:tc>
      </w:tr>
      <w:tr w:rsidR="004A41A5" w:rsidRPr="00E10BA4" w14:paraId="52CDB267" w14:textId="77777777" w:rsidTr="00DA45FE">
        <w:trPr>
          <w:trHeight w:val="132"/>
        </w:trPr>
        <w:tc>
          <w:tcPr>
            <w:tcW w:w="3771" w:type="pct"/>
            <w:shd w:val="clear" w:color="auto" w:fill="FFFFFF" w:themeFill="background1"/>
          </w:tcPr>
          <w:p w14:paraId="7B0CE95C" w14:textId="273C6FEA" w:rsidR="00D63D87" w:rsidRPr="00E10BA4" w:rsidRDefault="007D5530" w:rsidP="00E10BA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ajorEastAsia" w:hAnsi="Arial" w:cs="Arial"/>
              </w:rPr>
            </w:pPr>
            <w:r w:rsidRPr="00E10BA4">
              <w:rPr>
                <w:rFonts w:ascii="Arial" w:eastAsiaTheme="majorEastAsia" w:hAnsi="Arial" w:cs="Arial"/>
              </w:rPr>
              <w:t xml:space="preserve">Gas regulators designed specifically for the selected gas should be used. Gas regulator </w:t>
            </w:r>
            <w:r w:rsidR="00453DDD" w:rsidRPr="00E10BA4">
              <w:rPr>
                <w:rFonts w:ascii="Arial" w:eastAsiaTheme="majorEastAsia" w:hAnsi="Arial" w:cs="Arial"/>
              </w:rPr>
              <w:t xml:space="preserve">only attached </w:t>
            </w:r>
            <w:r w:rsidRPr="00E10BA4">
              <w:rPr>
                <w:rFonts w:ascii="Arial" w:eastAsiaTheme="majorEastAsia" w:hAnsi="Arial" w:cs="Arial"/>
              </w:rPr>
              <w:t>by the trained user.</w:t>
            </w:r>
          </w:p>
          <w:p w14:paraId="6B2CB3D4" w14:textId="76BCDAB0" w:rsidR="00453DDD" w:rsidRPr="00E10BA4" w:rsidRDefault="00453DDD" w:rsidP="00860EB3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E10BA4">
              <w:rPr>
                <w:rFonts w:ascii="Arial" w:eastAsiaTheme="majorEastAsia" w:hAnsi="Arial" w:cs="Arial"/>
              </w:rPr>
              <w:t>The gas and its use must be</w:t>
            </w:r>
            <w:r w:rsidR="000B52A0">
              <w:rPr>
                <w:rFonts w:ascii="Arial" w:eastAsiaTheme="majorEastAsia" w:hAnsi="Arial" w:cs="Arial"/>
              </w:rPr>
              <w:t xml:space="preserve"> risk</w:t>
            </w:r>
            <w:r w:rsidRPr="00E10BA4">
              <w:rPr>
                <w:rFonts w:ascii="Arial" w:eastAsiaTheme="majorEastAsia" w:hAnsi="Arial" w:cs="Arial"/>
              </w:rPr>
              <w:t xml:space="preserve"> assessed</w:t>
            </w:r>
            <w:r w:rsidR="00860EB3">
              <w:rPr>
                <w:rFonts w:ascii="Arial" w:eastAsiaTheme="majorEastAsia" w:hAnsi="Arial" w:cs="Arial"/>
              </w:rPr>
              <w:t xml:space="preserve"> (</w:t>
            </w:r>
            <w:hyperlink r:id="rId18" w:history="1">
              <w:r w:rsidR="00860EB3" w:rsidRPr="00860EB3">
                <w:rPr>
                  <w:rStyle w:val="Hyperlink"/>
                  <w:rFonts w:ascii="Arial" w:eastAsiaTheme="majorEastAsia" w:hAnsi="Arial" w:cs="Arial"/>
                </w:rPr>
                <w:t>compressed gas RA form</w:t>
              </w:r>
            </w:hyperlink>
            <w:r w:rsidR="00860EB3">
              <w:rPr>
                <w:rFonts w:ascii="Arial" w:eastAsiaTheme="majorEastAsia" w:hAnsi="Arial" w:cs="Arial"/>
              </w:rPr>
              <w:t>)</w:t>
            </w:r>
            <w:r w:rsidR="00672A96" w:rsidRPr="00E10BA4">
              <w:rPr>
                <w:rFonts w:ascii="Arial" w:eastAsiaTheme="majorEastAsia" w:hAnsi="Arial" w:cs="Arial"/>
              </w:rPr>
              <w:t>.</w:t>
            </w:r>
          </w:p>
        </w:tc>
        <w:tc>
          <w:tcPr>
            <w:tcW w:w="1229" w:type="pct"/>
            <w:shd w:val="clear" w:color="auto" w:fill="FFFFFF" w:themeFill="background1"/>
          </w:tcPr>
          <w:p w14:paraId="2CFBCBFF" w14:textId="77777777" w:rsidR="004A41A5" w:rsidRPr="00E10BA4" w:rsidRDefault="004A41A5" w:rsidP="00E10BA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61A1B2C4" w14:textId="77777777" w:rsidR="00262953" w:rsidRPr="00E10BA4" w:rsidRDefault="00262953" w:rsidP="00E10BA4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8"/>
        <w:gridCol w:w="5148"/>
      </w:tblGrid>
      <w:tr w:rsidR="00262953" w:rsidRPr="00E10BA4" w14:paraId="14F1E665" w14:textId="77777777" w:rsidTr="00F61596">
        <w:trPr>
          <w:trHeight w:val="303"/>
        </w:trPr>
        <w:tc>
          <w:tcPr>
            <w:tcW w:w="5000" w:type="pct"/>
            <w:gridSpan w:val="2"/>
            <w:shd w:val="clear" w:color="auto" w:fill="1F3864" w:themeFill="accent5" w:themeFillShade="80"/>
          </w:tcPr>
          <w:p w14:paraId="1353E7D7" w14:textId="77777777" w:rsidR="00262953" w:rsidRPr="00E10BA4" w:rsidRDefault="00262953" w:rsidP="00E10BA4">
            <w:pPr>
              <w:spacing w:line="276" w:lineRule="auto"/>
              <w:rPr>
                <w:rFonts w:ascii="Arial" w:hAnsi="Arial" w:cs="Arial"/>
                <w:b/>
              </w:rPr>
            </w:pPr>
            <w:r w:rsidRPr="00E10BA4">
              <w:rPr>
                <w:rFonts w:ascii="Arial" w:hAnsi="Arial" w:cs="Arial"/>
                <w:b/>
              </w:rPr>
              <w:t>Who may be harmed</w:t>
            </w:r>
          </w:p>
        </w:tc>
      </w:tr>
      <w:tr w:rsidR="00262953" w:rsidRPr="00E10BA4" w14:paraId="3F3FEF4B" w14:textId="77777777" w:rsidTr="00F61596">
        <w:trPr>
          <w:trHeight w:val="303"/>
        </w:trPr>
        <w:tc>
          <w:tcPr>
            <w:tcW w:w="2356" w:type="pct"/>
            <w:shd w:val="clear" w:color="auto" w:fill="auto"/>
          </w:tcPr>
          <w:p w14:paraId="1F206884" w14:textId="320DD390" w:rsidR="00262953" w:rsidRPr="00E10BA4" w:rsidRDefault="00262953" w:rsidP="00E10BA4">
            <w:pPr>
              <w:spacing w:line="276" w:lineRule="auto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Staff / students                     </w:t>
            </w:r>
            <w:sdt>
              <w:sdtPr>
                <w:rPr>
                  <w:rFonts w:ascii="Arial" w:hAnsi="Arial" w:cs="Arial"/>
                </w:rPr>
                <w:id w:val="-5463795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D1C" w:rsidRPr="00E10BA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  <w:tc>
          <w:tcPr>
            <w:tcW w:w="2644" w:type="pct"/>
            <w:shd w:val="clear" w:color="auto" w:fill="auto"/>
          </w:tcPr>
          <w:p w14:paraId="39564FCB" w14:textId="7F14C729" w:rsidR="00262953" w:rsidRPr="00E10BA4" w:rsidRDefault="00262953" w:rsidP="00E10BA4">
            <w:pPr>
              <w:spacing w:line="276" w:lineRule="auto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Cleaners / Engineers                  </w:t>
            </w:r>
            <w:sdt>
              <w:sdtPr>
                <w:rPr>
                  <w:rFonts w:ascii="Arial" w:hAnsi="Arial" w:cs="Arial"/>
                </w:rPr>
                <w:id w:val="-18969684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D1C" w:rsidRPr="00E10BA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</w:tr>
      <w:tr w:rsidR="00262953" w:rsidRPr="00E10BA4" w14:paraId="5F4D6D63" w14:textId="77777777" w:rsidTr="00F61596">
        <w:trPr>
          <w:trHeight w:val="303"/>
        </w:trPr>
        <w:tc>
          <w:tcPr>
            <w:tcW w:w="2356" w:type="pct"/>
            <w:shd w:val="clear" w:color="auto" w:fill="auto"/>
          </w:tcPr>
          <w:p w14:paraId="12CBF434" w14:textId="4C500FFD" w:rsidR="00262953" w:rsidRPr="00E10BA4" w:rsidRDefault="00262953" w:rsidP="00E10BA4">
            <w:pPr>
              <w:spacing w:line="276" w:lineRule="auto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Supporting staff                    </w:t>
            </w:r>
            <w:sdt>
              <w:sdtPr>
                <w:rPr>
                  <w:rFonts w:ascii="Arial" w:hAnsi="Arial" w:cs="Arial"/>
                </w:rPr>
                <w:id w:val="-289363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83" w:rsidRPr="00E10BA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  <w:tc>
          <w:tcPr>
            <w:tcW w:w="2644" w:type="pct"/>
            <w:shd w:val="clear" w:color="auto" w:fill="auto"/>
          </w:tcPr>
          <w:p w14:paraId="35642E35" w14:textId="0CC88AB4" w:rsidR="00262953" w:rsidRPr="00E10BA4" w:rsidRDefault="00262953" w:rsidP="00E10BA4">
            <w:pPr>
              <w:spacing w:line="276" w:lineRule="auto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Others</w:t>
            </w:r>
            <w:r w:rsidR="004A41A5" w:rsidRPr="00E10BA4">
              <w:rPr>
                <w:rFonts w:ascii="Arial" w:hAnsi="Arial" w:cs="Arial"/>
              </w:rPr>
              <w:t xml:space="preserve"> (specify): </w:t>
            </w:r>
            <w:r w:rsidRPr="00E10BA4">
              <w:rPr>
                <w:rFonts w:ascii="Arial" w:hAnsi="Arial" w:cs="Arial"/>
              </w:rPr>
              <w:t xml:space="preserve">                                       </w:t>
            </w:r>
          </w:p>
        </w:tc>
      </w:tr>
    </w:tbl>
    <w:p w14:paraId="2045DE36" w14:textId="77777777" w:rsidR="00825DAE" w:rsidRPr="00E10BA4" w:rsidRDefault="00825DAE" w:rsidP="00E10BA4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53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985A0C" w:rsidRPr="00E10BA4" w14:paraId="4C4807CC" w14:textId="77777777" w:rsidTr="00985A0C">
        <w:trPr>
          <w:trHeight w:val="303"/>
        </w:trPr>
        <w:tc>
          <w:tcPr>
            <w:tcW w:w="5000" w:type="pct"/>
            <w:shd w:val="clear" w:color="auto" w:fill="1F3864" w:themeFill="accent5" w:themeFillShade="80"/>
          </w:tcPr>
          <w:p w14:paraId="334DD744" w14:textId="77777777" w:rsidR="00985A0C" w:rsidRPr="00E10BA4" w:rsidRDefault="00985A0C" w:rsidP="00E10BA4">
            <w:pPr>
              <w:spacing w:line="276" w:lineRule="auto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  <w:b/>
              </w:rPr>
              <w:t>Emergency procedures</w:t>
            </w:r>
            <w:r w:rsidRPr="00E10BA4">
              <w:rPr>
                <w:rFonts w:ascii="Arial" w:hAnsi="Arial" w:cs="Arial"/>
              </w:rPr>
              <w:t xml:space="preserve"> – describe the response(s) required by the user and lab members</w:t>
            </w:r>
          </w:p>
        </w:tc>
      </w:tr>
      <w:tr w:rsidR="00985A0C" w:rsidRPr="00E10BA4" w14:paraId="75262A95" w14:textId="77777777" w:rsidTr="00985A0C">
        <w:trPr>
          <w:trHeight w:val="303"/>
        </w:trPr>
        <w:tc>
          <w:tcPr>
            <w:tcW w:w="5000" w:type="pct"/>
            <w:shd w:val="clear" w:color="auto" w:fill="auto"/>
          </w:tcPr>
          <w:p w14:paraId="6B96C8DA" w14:textId="4D2DBF4A" w:rsidR="007D5530" w:rsidRDefault="007D5530" w:rsidP="00E10BA4">
            <w:pPr>
              <w:spacing w:line="276" w:lineRule="auto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If </w:t>
            </w:r>
            <w:r w:rsidRPr="00E10BA4">
              <w:rPr>
                <w:rFonts w:ascii="Arial" w:hAnsi="Arial" w:cs="Arial"/>
                <w:b/>
              </w:rPr>
              <w:t xml:space="preserve">a cylinder </w:t>
            </w:r>
            <w:r w:rsidRPr="00E10BA4">
              <w:rPr>
                <w:rFonts w:ascii="Arial" w:hAnsi="Arial" w:cs="Arial"/>
              </w:rPr>
              <w:t>is dropped or topples during transportation</w:t>
            </w:r>
            <w:r w:rsidR="000B52A0">
              <w:rPr>
                <w:rFonts w:ascii="Arial" w:hAnsi="Arial" w:cs="Arial"/>
              </w:rPr>
              <w:t>,</w:t>
            </w:r>
            <w:r w:rsidRPr="00E10BA4">
              <w:rPr>
                <w:rFonts w:ascii="Arial" w:hAnsi="Arial" w:cs="Arial"/>
              </w:rPr>
              <w:t xml:space="preserve"> return to the supplier immediately for inspection with an explanation of the incident.</w:t>
            </w:r>
          </w:p>
          <w:p w14:paraId="6F1067E0" w14:textId="77777777" w:rsidR="000B52A0" w:rsidRPr="00E10BA4" w:rsidRDefault="000B52A0" w:rsidP="00E10BA4">
            <w:pPr>
              <w:spacing w:line="276" w:lineRule="auto"/>
              <w:rPr>
                <w:rFonts w:ascii="Arial" w:hAnsi="Arial" w:cs="Arial"/>
              </w:rPr>
            </w:pPr>
          </w:p>
          <w:p w14:paraId="12A4520D" w14:textId="4EDA1CDD" w:rsidR="007D5530" w:rsidRDefault="007D5530" w:rsidP="00860EB3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If you discover </w:t>
            </w:r>
            <w:r w:rsidRPr="00E10BA4">
              <w:rPr>
                <w:rFonts w:ascii="Arial" w:hAnsi="Arial" w:cs="Arial"/>
                <w:b/>
              </w:rPr>
              <w:t>a fire</w:t>
            </w:r>
            <w:r w:rsidRPr="00E10BA4">
              <w:rPr>
                <w:rFonts w:ascii="Arial" w:hAnsi="Arial" w:cs="Arial"/>
              </w:rPr>
              <w:t xml:space="preserve"> in a room where there are compressed gas cylinders - shut all doors and </w:t>
            </w:r>
            <w:r w:rsidR="000B52A0">
              <w:rPr>
                <w:rFonts w:ascii="Arial" w:hAnsi="Arial" w:cs="Arial"/>
              </w:rPr>
              <w:t xml:space="preserve">activate </w:t>
            </w:r>
            <w:r w:rsidRPr="00E10BA4">
              <w:rPr>
                <w:rFonts w:ascii="Arial" w:hAnsi="Arial" w:cs="Arial"/>
              </w:rPr>
              <w:t xml:space="preserve">the fire alarm. Inform the Emergency Response Team, Fire Safety Officers or Security </w:t>
            </w:r>
            <w:r w:rsidR="000B52A0">
              <w:rPr>
                <w:rFonts w:ascii="Arial" w:hAnsi="Arial" w:cs="Arial"/>
              </w:rPr>
              <w:t xml:space="preserve">of </w:t>
            </w:r>
            <w:r w:rsidRPr="00E10BA4">
              <w:rPr>
                <w:rFonts w:ascii="Arial" w:hAnsi="Arial" w:cs="Arial"/>
              </w:rPr>
              <w:t>where the fire is and what it involves when they arrive at the building (call 4444</w:t>
            </w:r>
            <w:r w:rsidR="00860EB3">
              <w:rPr>
                <w:rFonts w:ascii="Arial" w:hAnsi="Arial" w:cs="Arial"/>
              </w:rPr>
              <w:t xml:space="preserve"> (+44 20 7589 1000)</w:t>
            </w:r>
            <w:r w:rsidRPr="00E10BA4">
              <w:rPr>
                <w:rFonts w:ascii="Arial" w:hAnsi="Arial" w:cs="Arial"/>
              </w:rPr>
              <w:t>).</w:t>
            </w:r>
          </w:p>
          <w:p w14:paraId="075CC5D0" w14:textId="77777777" w:rsidR="000B52A0" w:rsidRPr="00E10BA4" w:rsidRDefault="000B52A0" w:rsidP="00E10BA4">
            <w:pPr>
              <w:spacing w:line="276" w:lineRule="auto"/>
              <w:rPr>
                <w:rFonts w:ascii="Arial" w:hAnsi="Arial" w:cs="Arial"/>
              </w:rPr>
            </w:pPr>
          </w:p>
          <w:p w14:paraId="44EC8421" w14:textId="5328FD65" w:rsidR="007D5530" w:rsidRDefault="007D5530" w:rsidP="00E10BA4">
            <w:pPr>
              <w:spacing w:line="276" w:lineRule="auto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If there is a</w:t>
            </w:r>
            <w:r w:rsidR="005D706A" w:rsidRPr="00E10BA4">
              <w:rPr>
                <w:rFonts w:ascii="Arial" w:hAnsi="Arial" w:cs="Arial"/>
              </w:rPr>
              <w:t>n</w:t>
            </w:r>
            <w:r w:rsidRPr="00E10BA4">
              <w:rPr>
                <w:rFonts w:ascii="Arial" w:hAnsi="Arial" w:cs="Arial"/>
              </w:rPr>
              <w:t xml:space="preserve"> </w:t>
            </w:r>
            <w:r w:rsidR="00672A96" w:rsidRPr="00E10BA4">
              <w:rPr>
                <w:rFonts w:ascii="Arial" w:hAnsi="Arial" w:cs="Arial"/>
                <w:b/>
              </w:rPr>
              <w:t>uncontrolled release of gas</w:t>
            </w:r>
            <w:r w:rsidRPr="00E10BA4">
              <w:rPr>
                <w:rFonts w:ascii="Arial" w:hAnsi="Arial" w:cs="Arial"/>
              </w:rPr>
              <w:t xml:space="preserve"> from a cylinder</w:t>
            </w:r>
            <w:r w:rsidR="000B52A0">
              <w:rPr>
                <w:rFonts w:ascii="Arial" w:hAnsi="Arial" w:cs="Arial"/>
              </w:rPr>
              <w:t xml:space="preserve"> -</w:t>
            </w:r>
            <w:r w:rsidRPr="00E10BA4">
              <w:rPr>
                <w:rFonts w:ascii="Arial" w:hAnsi="Arial" w:cs="Arial"/>
              </w:rPr>
              <w:t xml:space="preserve"> shut off the supply </w:t>
            </w:r>
            <w:r w:rsidR="00672A96" w:rsidRPr="00E10BA4">
              <w:rPr>
                <w:rFonts w:ascii="Arial" w:hAnsi="Arial" w:cs="Arial"/>
              </w:rPr>
              <w:t>if safe to do so, and evacuate the area.</w:t>
            </w:r>
            <w:r w:rsidRPr="00E10BA4">
              <w:rPr>
                <w:rFonts w:ascii="Arial" w:hAnsi="Arial" w:cs="Arial"/>
              </w:rPr>
              <w:t xml:space="preserve"> </w:t>
            </w:r>
            <w:r w:rsidR="00672A96" w:rsidRPr="00E10BA4">
              <w:rPr>
                <w:rFonts w:ascii="Arial" w:hAnsi="Arial" w:cs="Arial"/>
              </w:rPr>
              <w:t xml:space="preserve">Only allow access to the area after the concentration of gas falls below </w:t>
            </w:r>
            <w:r w:rsidR="000B52A0">
              <w:rPr>
                <w:rFonts w:ascii="Arial" w:hAnsi="Arial" w:cs="Arial"/>
              </w:rPr>
              <w:t xml:space="preserve">that </w:t>
            </w:r>
            <w:r w:rsidR="00672A96" w:rsidRPr="00E10BA4">
              <w:rPr>
                <w:rFonts w:ascii="Arial" w:hAnsi="Arial" w:cs="Arial"/>
              </w:rPr>
              <w:t>which could cause harm.</w:t>
            </w:r>
          </w:p>
          <w:p w14:paraId="668DFBA2" w14:textId="77777777" w:rsidR="000B52A0" w:rsidRPr="00E10BA4" w:rsidRDefault="000B52A0" w:rsidP="00E10BA4">
            <w:pPr>
              <w:spacing w:line="276" w:lineRule="auto"/>
              <w:rPr>
                <w:rFonts w:ascii="Arial" w:hAnsi="Arial" w:cs="Arial"/>
              </w:rPr>
            </w:pPr>
          </w:p>
          <w:p w14:paraId="61D9A1EF" w14:textId="1973E3A0" w:rsidR="00985A0C" w:rsidRPr="00E10BA4" w:rsidRDefault="00985A0C" w:rsidP="00E10B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 xml:space="preserve">If </w:t>
            </w:r>
            <w:r w:rsidR="005D15D3" w:rsidRPr="00E10BA4">
              <w:rPr>
                <w:rFonts w:ascii="Arial" w:hAnsi="Arial" w:cs="Arial"/>
                <w:b/>
              </w:rPr>
              <w:t>crushing injury</w:t>
            </w:r>
            <w:r w:rsidR="000B52A0">
              <w:rPr>
                <w:rFonts w:ascii="Arial" w:hAnsi="Arial" w:cs="Arial"/>
                <w:b/>
              </w:rPr>
              <w:t xml:space="preserve"> </w:t>
            </w:r>
            <w:r w:rsidR="000B52A0" w:rsidRPr="000B52A0">
              <w:rPr>
                <w:rFonts w:ascii="Arial" w:hAnsi="Arial" w:cs="Arial"/>
              </w:rPr>
              <w:t>occurs</w:t>
            </w:r>
            <w:r w:rsidR="005D15D3" w:rsidRPr="000B52A0">
              <w:rPr>
                <w:rFonts w:ascii="Arial" w:hAnsi="Arial" w:cs="Arial"/>
              </w:rPr>
              <w:t xml:space="preserve"> </w:t>
            </w:r>
            <w:r w:rsidRPr="00E10BA4">
              <w:rPr>
                <w:rFonts w:ascii="Arial" w:hAnsi="Arial" w:cs="Arial"/>
              </w:rPr>
              <w:t xml:space="preserve">- contact first aider immediately – use ice/cool pack </w:t>
            </w:r>
            <w:r w:rsidR="000B52A0">
              <w:rPr>
                <w:rFonts w:ascii="Arial" w:hAnsi="Arial" w:cs="Arial"/>
              </w:rPr>
              <w:t>(</w:t>
            </w:r>
            <w:r w:rsidRPr="00E10BA4">
              <w:rPr>
                <w:rFonts w:ascii="Arial" w:hAnsi="Arial" w:cs="Arial"/>
              </w:rPr>
              <w:t>if on hand only</w:t>
            </w:r>
            <w:r w:rsidR="000B52A0">
              <w:rPr>
                <w:rFonts w:ascii="Arial" w:hAnsi="Arial" w:cs="Arial"/>
              </w:rPr>
              <w:t>)</w:t>
            </w:r>
            <w:r w:rsidRPr="00E10BA4">
              <w:rPr>
                <w:rFonts w:ascii="Arial" w:hAnsi="Arial" w:cs="Arial"/>
              </w:rPr>
              <w:t xml:space="preserve"> to reduce immediate swelling – seek medical attention if required.</w:t>
            </w:r>
          </w:p>
        </w:tc>
      </w:tr>
    </w:tbl>
    <w:p w14:paraId="1482A92E" w14:textId="77777777" w:rsidR="00985A0C" w:rsidRPr="00E10BA4" w:rsidRDefault="00985A0C" w:rsidP="00E10BA4">
      <w:pPr>
        <w:spacing w:after="0" w:line="276" w:lineRule="auto"/>
        <w:rPr>
          <w:rFonts w:ascii="Arial" w:hAnsi="Arial" w:cs="Arial"/>
        </w:rPr>
      </w:pPr>
    </w:p>
    <w:p w14:paraId="73A0FADC" w14:textId="77777777" w:rsidR="00985A0C" w:rsidRPr="00E10BA4" w:rsidRDefault="00985A0C" w:rsidP="00E10BA4">
      <w:pPr>
        <w:spacing w:after="0" w:line="276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Y="-143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730"/>
      </w:tblGrid>
      <w:tr w:rsidR="00985A0C" w:rsidRPr="00E10BA4" w14:paraId="35DF9FFD" w14:textId="77777777" w:rsidTr="00985A0C">
        <w:trPr>
          <w:trHeight w:val="393"/>
        </w:trPr>
        <w:tc>
          <w:tcPr>
            <w:tcW w:w="5000" w:type="pct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1F3864" w:themeFill="accent5" w:themeFillShade="80"/>
          </w:tcPr>
          <w:p w14:paraId="42D9BACA" w14:textId="77777777" w:rsidR="00985A0C" w:rsidRPr="00E10BA4" w:rsidRDefault="00985A0C" w:rsidP="00E10BA4">
            <w:pPr>
              <w:spacing w:after="0" w:line="276" w:lineRule="auto"/>
              <w:rPr>
                <w:rFonts w:ascii="Arial" w:hAnsi="Arial" w:cs="Arial"/>
                <w:color w:val="FFFFFF"/>
              </w:rPr>
            </w:pPr>
            <w:r w:rsidRPr="00E10BA4">
              <w:rPr>
                <w:rFonts w:ascii="Arial" w:hAnsi="Arial" w:cs="Arial"/>
                <w:color w:val="FFFFFF"/>
              </w:rPr>
              <w:t>Recommended trainings and records:</w:t>
            </w:r>
          </w:p>
        </w:tc>
      </w:tr>
      <w:tr w:rsidR="00985A0C" w:rsidRPr="00E10BA4" w14:paraId="08AB5BAA" w14:textId="77777777" w:rsidTr="00985A0C">
        <w:trPr>
          <w:trHeight w:val="1243"/>
        </w:trPr>
        <w:tc>
          <w:tcPr>
            <w:tcW w:w="5000" w:type="pct"/>
            <w:tcBorders>
              <w:top w:val="nil"/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14:paraId="33A0E55A" w14:textId="77777777" w:rsidR="007D5530" w:rsidRPr="00E10BA4" w:rsidRDefault="007D5530" w:rsidP="00E10BA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</w:pPr>
            <w:r w:rsidRPr="00E10BA4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 xml:space="preserve">LDC training Compressed Gases and Connecting Gas Regulators </w:t>
            </w:r>
            <w:hyperlink r:id="rId19" w:history="1">
              <w:r w:rsidRPr="00E10BA4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http://www.imperial.ac.uk/staff-development/safety-training/safety-courses-/compressed-gases-and-connecting-gas-regulators/</w:t>
              </w:r>
            </w:hyperlink>
          </w:p>
          <w:p w14:paraId="18A4E329" w14:textId="3E8B8B5B" w:rsidR="00985A0C" w:rsidRPr="00E10BA4" w:rsidRDefault="007D5530" w:rsidP="00E10BA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BA4">
              <w:rPr>
                <w:rFonts w:ascii="Arial" w:hAnsi="Arial" w:cs="Arial"/>
                <w:b/>
                <w:color w:val="1F3864" w:themeColor="accent5" w:themeShade="80"/>
                <w:sz w:val="16"/>
                <w:szCs w:val="16"/>
              </w:rPr>
              <w:t xml:space="preserve">The BOC group </w:t>
            </w:r>
            <w:hyperlink r:id="rId20" w:history="1">
              <w:r w:rsidRPr="00E10BA4">
                <w:rPr>
                  <w:rStyle w:val="Hyperlink"/>
                  <w:rFonts w:ascii="Arial" w:hAnsi="Arial" w:cs="Arial"/>
                  <w:b/>
                  <w:sz w:val="16"/>
                  <w:szCs w:val="16"/>
                </w:rPr>
                <w:t>https://www.imperial.ac.uk/finance/purchasing/recommended-suppliers/by-product-type/lab-supplies/a-z-list-of-lab-suppliers/boc/</w:t>
              </w:r>
            </w:hyperlink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C72BBA" w:rsidRPr="00E10BA4" w14:paraId="04A2DF6F" w14:textId="77777777" w:rsidTr="00F61596">
        <w:tc>
          <w:tcPr>
            <w:tcW w:w="2500" w:type="pct"/>
            <w:shd w:val="clear" w:color="auto" w:fill="1F3864" w:themeFill="accent5" w:themeFillShade="80"/>
          </w:tcPr>
          <w:p w14:paraId="326EBAF8" w14:textId="77777777" w:rsidR="00C72BBA" w:rsidRPr="00E10BA4" w:rsidRDefault="00C72BBA" w:rsidP="00E10BA4">
            <w:pPr>
              <w:spacing w:line="276" w:lineRule="auto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List of individuals competent to demonstrate safe work practice and train others (level 1 trainers):</w:t>
            </w:r>
          </w:p>
        </w:tc>
        <w:tc>
          <w:tcPr>
            <w:tcW w:w="2500" w:type="pct"/>
            <w:shd w:val="clear" w:color="auto" w:fill="1F3864" w:themeFill="accent5" w:themeFillShade="80"/>
          </w:tcPr>
          <w:p w14:paraId="5D0785BF" w14:textId="77777777" w:rsidR="00C72BBA" w:rsidRPr="00E10BA4" w:rsidRDefault="00C72BBA" w:rsidP="00E10BA4">
            <w:pPr>
              <w:spacing w:line="276" w:lineRule="auto"/>
              <w:rPr>
                <w:rFonts w:ascii="Arial" w:hAnsi="Arial" w:cs="Arial"/>
              </w:rPr>
            </w:pPr>
            <w:r w:rsidRPr="00E10BA4">
              <w:rPr>
                <w:rFonts w:ascii="Arial" w:hAnsi="Arial" w:cs="Arial"/>
              </w:rPr>
              <w:t>Names of those that have been trained and can work unsupervised (level 2) and date training completed:</w:t>
            </w:r>
          </w:p>
        </w:tc>
      </w:tr>
      <w:tr w:rsidR="00C72BBA" w:rsidRPr="00E10BA4" w14:paraId="2683281E" w14:textId="77777777" w:rsidTr="00F61596">
        <w:tc>
          <w:tcPr>
            <w:tcW w:w="2500" w:type="pct"/>
          </w:tcPr>
          <w:p w14:paraId="77626024" w14:textId="77777777" w:rsidR="00C72BBA" w:rsidRPr="00E10BA4" w:rsidRDefault="00C72BBA" w:rsidP="00E10BA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140F3579" w14:textId="77777777" w:rsidR="00C72BBA" w:rsidRPr="00E10BA4" w:rsidRDefault="00C72BBA" w:rsidP="00E10BA4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72BBA" w:rsidRPr="00E10BA4" w14:paraId="3C1A539F" w14:textId="77777777" w:rsidTr="00F61596">
        <w:tc>
          <w:tcPr>
            <w:tcW w:w="2500" w:type="pct"/>
          </w:tcPr>
          <w:p w14:paraId="10A6D37A" w14:textId="77777777" w:rsidR="00C72BBA" w:rsidRPr="00E10BA4" w:rsidRDefault="00C72BBA" w:rsidP="00E10BA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B0BBB38" w14:textId="77777777" w:rsidR="00C72BBA" w:rsidRPr="00E10BA4" w:rsidRDefault="00C72BBA" w:rsidP="00E10BA4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906D367" w14:textId="77777777" w:rsidR="00C72BBA" w:rsidRPr="00E10BA4" w:rsidRDefault="00C72BBA" w:rsidP="00E10BA4">
      <w:pPr>
        <w:spacing w:after="0" w:line="276" w:lineRule="auto"/>
        <w:rPr>
          <w:rFonts w:ascii="Arial" w:hAnsi="Arial" w:cs="Arial"/>
        </w:rPr>
      </w:pPr>
    </w:p>
    <w:p w14:paraId="1CFF3F2B" w14:textId="77777777" w:rsidR="004D4433" w:rsidRPr="00E10BA4" w:rsidRDefault="004D4433" w:rsidP="00E10BA4">
      <w:pPr>
        <w:spacing w:line="276" w:lineRule="auto"/>
        <w:rPr>
          <w:rFonts w:ascii="Arial" w:hAnsi="Arial" w:cs="Arial"/>
        </w:rPr>
      </w:pPr>
    </w:p>
    <w:sectPr w:rsidR="004D4433" w:rsidRPr="00E10BA4" w:rsidSect="00E10BA4">
      <w:headerReference w:type="default" r:id="rId21"/>
      <w:footerReference w:type="default" r:id="rId2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75EB1" w14:textId="77777777" w:rsidR="007F4AC8" w:rsidRDefault="007F4AC8" w:rsidP="00505646">
      <w:pPr>
        <w:spacing w:after="0" w:line="240" w:lineRule="auto"/>
      </w:pPr>
      <w:r>
        <w:separator/>
      </w:r>
    </w:p>
  </w:endnote>
  <w:endnote w:type="continuationSeparator" w:id="0">
    <w:p w14:paraId="4F0CFF89" w14:textId="77777777" w:rsidR="007F4AC8" w:rsidRDefault="007F4AC8" w:rsidP="0050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7516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C6E43" w14:textId="4419AFE1" w:rsidR="00BB00EF" w:rsidRDefault="00B549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6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26EE411" w14:textId="77777777" w:rsidR="00BB00EF" w:rsidRDefault="00F256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99422" w14:textId="77777777" w:rsidR="007F4AC8" w:rsidRDefault="007F4AC8" w:rsidP="00505646">
      <w:pPr>
        <w:spacing w:after="0" w:line="240" w:lineRule="auto"/>
      </w:pPr>
      <w:r>
        <w:separator/>
      </w:r>
    </w:p>
  </w:footnote>
  <w:footnote w:type="continuationSeparator" w:id="0">
    <w:p w14:paraId="29149426" w14:textId="77777777" w:rsidR="007F4AC8" w:rsidRDefault="007F4AC8" w:rsidP="0050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5B280" w14:textId="3A0C3202" w:rsidR="00437CA9" w:rsidRDefault="00437CA9">
    <w:pPr>
      <w:pStyle w:val="Header"/>
    </w:pPr>
    <w:r>
      <w:t>Faculty of Natural Sciences</w:t>
    </w:r>
  </w:p>
  <w:p w14:paraId="3C436C74" w14:textId="15F0F6F9" w:rsidR="00437CA9" w:rsidRDefault="00114335">
    <w:pPr>
      <w:pStyle w:val="Header"/>
    </w:pPr>
    <w:r>
      <w:t>SOP-CH1.6.1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0DE"/>
    <w:multiLevelType w:val="hybridMultilevel"/>
    <w:tmpl w:val="EB28F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2675C"/>
    <w:multiLevelType w:val="hybridMultilevel"/>
    <w:tmpl w:val="03FE836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2B2EB8"/>
    <w:multiLevelType w:val="hybridMultilevel"/>
    <w:tmpl w:val="269C90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3A3338"/>
    <w:multiLevelType w:val="hybridMultilevel"/>
    <w:tmpl w:val="77B24B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54FF8"/>
    <w:multiLevelType w:val="hybridMultilevel"/>
    <w:tmpl w:val="BDF2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615F"/>
    <w:multiLevelType w:val="hybridMultilevel"/>
    <w:tmpl w:val="7BBEBB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F6871"/>
    <w:multiLevelType w:val="hybridMultilevel"/>
    <w:tmpl w:val="2D9AF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12B3C"/>
    <w:multiLevelType w:val="hybridMultilevel"/>
    <w:tmpl w:val="BC12A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5379"/>
    <w:multiLevelType w:val="hybridMultilevel"/>
    <w:tmpl w:val="4DEA91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F5A36"/>
    <w:multiLevelType w:val="hybridMultilevel"/>
    <w:tmpl w:val="1F4E6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276E3"/>
    <w:multiLevelType w:val="hybridMultilevel"/>
    <w:tmpl w:val="54FA5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27DD3"/>
    <w:multiLevelType w:val="hybridMultilevel"/>
    <w:tmpl w:val="B616D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C78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30F6093"/>
    <w:multiLevelType w:val="hybridMultilevel"/>
    <w:tmpl w:val="355EB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81FFD"/>
    <w:multiLevelType w:val="hybridMultilevel"/>
    <w:tmpl w:val="1F2068DC"/>
    <w:lvl w:ilvl="0" w:tplc="A56234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6B52223"/>
    <w:multiLevelType w:val="hybridMultilevel"/>
    <w:tmpl w:val="8354A6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A11379"/>
    <w:multiLevelType w:val="hybridMultilevel"/>
    <w:tmpl w:val="7B620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2614D"/>
    <w:multiLevelType w:val="hybridMultilevel"/>
    <w:tmpl w:val="29A0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54B38"/>
    <w:multiLevelType w:val="hybridMultilevel"/>
    <w:tmpl w:val="108E8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0B38F0"/>
    <w:multiLevelType w:val="hybridMultilevel"/>
    <w:tmpl w:val="0FF466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80D43"/>
    <w:multiLevelType w:val="hybridMultilevel"/>
    <w:tmpl w:val="C8B69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81CF0"/>
    <w:multiLevelType w:val="hybridMultilevel"/>
    <w:tmpl w:val="10444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B4B3C"/>
    <w:multiLevelType w:val="hybridMultilevel"/>
    <w:tmpl w:val="E402A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37C97"/>
    <w:multiLevelType w:val="hybridMultilevel"/>
    <w:tmpl w:val="E2F800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B57F46"/>
    <w:multiLevelType w:val="hybridMultilevel"/>
    <w:tmpl w:val="FCE0A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F63550"/>
    <w:multiLevelType w:val="hybridMultilevel"/>
    <w:tmpl w:val="52B2C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A0AA5"/>
    <w:multiLevelType w:val="hybridMultilevel"/>
    <w:tmpl w:val="F844F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51E9C"/>
    <w:multiLevelType w:val="hybridMultilevel"/>
    <w:tmpl w:val="EF24C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67166"/>
    <w:multiLevelType w:val="hybridMultilevel"/>
    <w:tmpl w:val="61021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F538F"/>
    <w:multiLevelType w:val="hybridMultilevel"/>
    <w:tmpl w:val="AF4447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A2A0F"/>
    <w:multiLevelType w:val="hybridMultilevel"/>
    <w:tmpl w:val="7CB00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30219F"/>
    <w:multiLevelType w:val="hybridMultilevel"/>
    <w:tmpl w:val="0F14F5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977AF1"/>
    <w:multiLevelType w:val="hybridMultilevel"/>
    <w:tmpl w:val="D80015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03F48"/>
    <w:multiLevelType w:val="hybridMultilevel"/>
    <w:tmpl w:val="AE183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F9389A"/>
    <w:multiLevelType w:val="hybridMultilevel"/>
    <w:tmpl w:val="663A32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"/>
  </w:num>
  <w:num w:numId="3">
    <w:abstractNumId w:val="30"/>
  </w:num>
  <w:num w:numId="4">
    <w:abstractNumId w:val="5"/>
  </w:num>
  <w:num w:numId="5">
    <w:abstractNumId w:val="15"/>
  </w:num>
  <w:num w:numId="6">
    <w:abstractNumId w:val="6"/>
  </w:num>
  <w:num w:numId="7">
    <w:abstractNumId w:val="3"/>
  </w:num>
  <w:num w:numId="8">
    <w:abstractNumId w:val="34"/>
  </w:num>
  <w:num w:numId="9">
    <w:abstractNumId w:val="28"/>
  </w:num>
  <w:num w:numId="10">
    <w:abstractNumId w:val="19"/>
  </w:num>
  <w:num w:numId="11">
    <w:abstractNumId w:val="23"/>
  </w:num>
  <w:num w:numId="12">
    <w:abstractNumId w:val="26"/>
  </w:num>
  <w:num w:numId="13">
    <w:abstractNumId w:val="17"/>
  </w:num>
  <w:num w:numId="14">
    <w:abstractNumId w:val="20"/>
  </w:num>
  <w:num w:numId="15">
    <w:abstractNumId w:val="9"/>
  </w:num>
  <w:num w:numId="16">
    <w:abstractNumId w:val="24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3"/>
  </w:num>
  <w:num w:numId="21">
    <w:abstractNumId w:val="0"/>
  </w:num>
  <w:num w:numId="22">
    <w:abstractNumId w:val="32"/>
  </w:num>
  <w:num w:numId="23">
    <w:abstractNumId w:val="2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2"/>
  </w:num>
  <w:num w:numId="27">
    <w:abstractNumId w:val="11"/>
  </w:num>
  <w:num w:numId="28">
    <w:abstractNumId w:val="10"/>
  </w:num>
  <w:num w:numId="29">
    <w:abstractNumId w:val="7"/>
  </w:num>
  <w:num w:numId="30">
    <w:abstractNumId w:val="16"/>
  </w:num>
  <w:num w:numId="31">
    <w:abstractNumId w:val="29"/>
  </w:num>
  <w:num w:numId="32">
    <w:abstractNumId w:val="27"/>
  </w:num>
  <w:num w:numId="33">
    <w:abstractNumId w:val="12"/>
  </w:num>
  <w:num w:numId="34">
    <w:abstractNumId w:val="4"/>
  </w:num>
  <w:num w:numId="35">
    <w:abstractNumId w:val="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46"/>
    <w:rsid w:val="00003CD4"/>
    <w:rsid w:val="000366F4"/>
    <w:rsid w:val="000664D1"/>
    <w:rsid w:val="000A329F"/>
    <w:rsid w:val="000B52A0"/>
    <w:rsid w:val="000D5B6A"/>
    <w:rsid w:val="000E6211"/>
    <w:rsid w:val="000F094F"/>
    <w:rsid w:val="00113AF0"/>
    <w:rsid w:val="00114335"/>
    <w:rsid w:val="001246EB"/>
    <w:rsid w:val="0019118A"/>
    <w:rsid w:val="001A067F"/>
    <w:rsid w:val="00234767"/>
    <w:rsid w:val="00262953"/>
    <w:rsid w:val="00300819"/>
    <w:rsid w:val="00304859"/>
    <w:rsid w:val="003560E4"/>
    <w:rsid w:val="00363DA9"/>
    <w:rsid w:val="003A2989"/>
    <w:rsid w:val="003A63F7"/>
    <w:rsid w:val="003B23C5"/>
    <w:rsid w:val="003E389E"/>
    <w:rsid w:val="003F3A98"/>
    <w:rsid w:val="00437CA9"/>
    <w:rsid w:val="00453DDD"/>
    <w:rsid w:val="004A41A5"/>
    <w:rsid w:val="004C6CD5"/>
    <w:rsid w:val="004D2EA5"/>
    <w:rsid w:val="004D4433"/>
    <w:rsid w:val="00505646"/>
    <w:rsid w:val="005808D7"/>
    <w:rsid w:val="005B5BC6"/>
    <w:rsid w:val="005D15D3"/>
    <w:rsid w:val="005D706A"/>
    <w:rsid w:val="00604E91"/>
    <w:rsid w:val="00614572"/>
    <w:rsid w:val="006159C9"/>
    <w:rsid w:val="0064081A"/>
    <w:rsid w:val="006437A2"/>
    <w:rsid w:val="00656F01"/>
    <w:rsid w:val="00672A96"/>
    <w:rsid w:val="0067442E"/>
    <w:rsid w:val="00694217"/>
    <w:rsid w:val="006C5D2D"/>
    <w:rsid w:val="006E13CB"/>
    <w:rsid w:val="00735225"/>
    <w:rsid w:val="00735EA6"/>
    <w:rsid w:val="00754F39"/>
    <w:rsid w:val="007669FF"/>
    <w:rsid w:val="0077485F"/>
    <w:rsid w:val="007C48D0"/>
    <w:rsid w:val="007D5530"/>
    <w:rsid w:val="007E1772"/>
    <w:rsid w:val="007F4AC8"/>
    <w:rsid w:val="008008DA"/>
    <w:rsid w:val="00822CC3"/>
    <w:rsid w:val="00825DAE"/>
    <w:rsid w:val="00843149"/>
    <w:rsid w:val="00860EB3"/>
    <w:rsid w:val="008900D3"/>
    <w:rsid w:val="008B6B7C"/>
    <w:rsid w:val="008E50E3"/>
    <w:rsid w:val="00920F1F"/>
    <w:rsid w:val="00974494"/>
    <w:rsid w:val="00985A0C"/>
    <w:rsid w:val="00995941"/>
    <w:rsid w:val="009A07E1"/>
    <w:rsid w:val="009B0259"/>
    <w:rsid w:val="009B76E2"/>
    <w:rsid w:val="009E561B"/>
    <w:rsid w:val="00A0476A"/>
    <w:rsid w:val="00A83656"/>
    <w:rsid w:val="00AC26D9"/>
    <w:rsid w:val="00AC603B"/>
    <w:rsid w:val="00AD68D4"/>
    <w:rsid w:val="00B045BA"/>
    <w:rsid w:val="00B54915"/>
    <w:rsid w:val="00B80F6C"/>
    <w:rsid w:val="00BD1FD7"/>
    <w:rsid w:val="00C21D63"/>
    <w:rsid w:val="00C71004"/>
    <w:rsid w:val="00C72BBA"/>
    <w:rsid w:val="00C8465B"/>
    <w:rsid w:val="00C95772"/>
    <w:rsid w:val="00CB5AE0"/>
    <w:rsid w:val="00CD52FE"/>
    <w:rsid w:val="00D01A4C"/>
    <w:rsid w:val="00D052E5"/>
    <w:rsid w:val="00D10075"/>
    <w:rsid w:val="00D32431"/>
    <w:rsid w:val="00D36D84"/>
    <w:rsid w:val="00D44857"/>
    <w:rsid w:val="00D51FAF"/>
    <w:rsid w:val="00D63D87"/>
    <w:rsid w:val="00DA45FE"/>
    <w:rsid w:val="00DF030B"/>
    <w:rsid w:val="00E10BA4"/>
    <w:rsid w:val="00E30C7C"/>
    <w:rsid w:val="00E44D1C"/>
    <w:rsid w:val="00E64B5F"/>
    <w:rsid w:val="00E943F6"/>
    <w:rsid w:val="00EC6FBC"/>
    <w:rsid w:val="00EF2AF8"/>
    <w:rsid w:val="00F14183"/>
    <w:rsid w:val="00F256F8"/>
    <w:rsid w:val="00F61596"/>
    <w:rsid w:val="00F80A8A"/>
    <w:rsid w:val="00F81781"/>
    <w:rsid w:val="00F82981"/>
    <w:rsid w:val="00F83C9A"/>
    <w:rsid w:val="00FA5851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79DD"/>
  <w15:docId w15:val="{5246679D-76E5-4656-AA18-578D2F81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46"/>
  </w:style>
  <w:style w:type="paragraph" w:styleId="Heading1">
    <w:name w:val="heading 1"/>
    <w:basedOn w:val="Normal"/>
    <w:next w:val="Normal"/>
    <w:link w:val="Heading1Char"/>
    <w:uiPriority w:val="9"/>
    <w:qFormat/>
    <w:rsid w:val="00505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6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3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6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6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0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505646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505646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05646"/>
    <w:rPr>
      <w:rFonts w:ascii="Garamond" w:eastAsia="Times New Roman" w:hAnsi="Garamond" w:cs="Times New Roman"/>
      <w:sz w:val="20"/>
      <w:szCs w:val="20"/>
    </w:rPr>
  </w:style>
  <w:style w:type="character" w:styleId="EndnoteReference">
    <w:name w:val="endnote reference"/>
    <w:semiHidden/>
    <w:rsid w:val="00505646"/>
    <w:rPr>
      <w:vertAlign w:val="superscript"/>
    </w:rPr>
  </w:style>
  <w:style w:type="character" w:styleId="CommentReference">
    <w:name w:val="annotation reference"/>
    <w:basedOn w:val="DefaultParagraphFont"/>
    <w:rsid w:val="005056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5646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5646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05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46"/>
  </w:style>
  <w:style w:type="paragraph" w:styleId="BalloonText">
    <w:name w:val="Balloon Text"/>
    <w:basedOn w:val="Normal"/>
    <w:link w:val="BalloonTextChar"/>
    <w:uiPriority w:val="99"/>
    <w:semiHidden/>
    <w:unhideWhenUsed/>
    <w:rsid w:val="0050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4D44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6E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8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859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943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7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A9"/>
  </w:style>
  <w:style w:type="paragraph" w:customStyle="1" w:styleId="TableStyle2">
    <w:name w:val="Table Style 2"/>
    <w:rsid w:val="000366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mperial.ac.uk/safety/safety-by-topic/lone-working/" TargetMode="External"/><Relationship Id="rId18" Type="http://schemas.openxmlformats.org/officeDocument/2006/relationships/hyperlink" Target="http://www.imperial.ac.uk/safety/forms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imperial.ac.uk/safety/safety-by-topic/off-site-working/" TargetMode="External"/><Relationship Id="rId17" Type="http://schemas.openxmlformats.org/officeDocument/2006/relationships/hyperlink" Target="https://www.imperial.ac.uk/safety/safety-by-topic/laboratory-safety/gases--cryogenics/compressed-gas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mperiallondon.sharepoint.com/sites/fons/faculty/safety/SitePages/Basic%20Laboratory%20Rules%20for%20All%20Laboratories%20in%20FoNS.aspx" TargetMode="External"/><Relationship Id="rId20" Type="http://schemas.openxmlformats.org/officeDocument/2006/relationships/hyperlink" Target="https://www.imperial.ac.uk/finance/purchasing/recommended-suppliers/by-product-type/lab-supplies/a-z-list-of-lab-suppliers/boc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mperiallondon.sharepoint.com/sites/fons/faculty/safety/lasers/SitePages/laserhome.asp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sigmaaldrich.com/catalog/product/aldrich/z273910?lang=en&amp;region=GB&amp;cm_sp=Insite-_-prodRecCold_xorders-_-prodRecCold2-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mperial.ac.uk/safety/safety-by-topic/laboratory-safety/" TargetMode="External"/><Relationship Id="rId19" Type="http://schemas.openxmlformats.org/officeDocument/2006/relationships/hyperlink" Target="http://www.imperial.ac.uk/staff-development/safety-training/safety-courses-/compressed-gases-and-connecting-gas-regulator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mperial.ac.uk/safety/safety-by-topic/laboratory-safety/" TargetMode="External"/><Relationship Id="rId14" Type="http://schemas.openxmlformats.org/officeDocument/2006/relationships/hyperlink" Target="http://www.imperial.ac.uk/staff-development/safety-training/safety-courses-/compressed-gases-and-connecting-gas-regulators/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l251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B1716376-62CE-4C8D-B5A7-A377E203F6BA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666150C-2838-495E-8118-FD6A6626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Kuzmina, Olga</dc:creator>
  <cp:keywords/>
  <dc:description/>
  <cp:lastModifiedBy>Linfoot, Josh</cp:lastModifiedBy>
  <cp:revision>6</cp:revision>
  <cp:lastPrinted>2017-01-27T11:40:00Z</cp:lastPrinted>
  <dcterms:created xsi:type="dcterms:W3CDTF">2020-06-02T20:54:00Z</dcterms:created>
  <dcterms:modified xsi:type="dcterms:W3CDTF">2021-09-13T12:17:00Z</dcterms:modified>
</cp:coreProperties>
</file>