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DC4B" w14:textId="3DC3A76F" w:rsidR="00597855" w:rsidRPr="000929C7" w:rsidRDefault="00597855" w:rsidP="000929C7">
      <w:pPr>
        <w:jc w:val="right"/>
        <w:rPr>
          <w:b/>
        </w:rPr>
      </w:pPr>
      <w:r w:rsidRPr="000929C7">
        <w:rPr>
          <w:b/>
        </w:rPr>
        <w:t>APPENDIX 2</w:t>
      </w:r>
    </w:p>
    <w:p w14:paraId="23E856D7" w14:textId="0C15E466" w:rsidR="00597855" w:rsidRPr="003B2B19" w:rsidRDefault="00597855" w:rsidP="00597855">
      <w:pPr>
        <w:jc w:val="center"/>
        <w:rPr>
          <w:b/>
          <w:sz w:val="28"/>
          <w:szCs w:val="28"/>
        </w:rPr>
      </w:pPr>
      <w:r w:rsidRPr="003B2B19">
        <w:rPr>
          <w:b/>
          <w:sz w:val="28"/>
          <w:szCs w:val="28"/>
        </w:rPr>
        <w:t>Work Experience checklist</w:t>
      </w:r>
    </w:p>
    <w:p w14:paraId="235836EC" w14:textId="77777777" w:rsidR="00597855" w:rsidRDefault="00597855" w:rsidP="00597855">
      <w:pPr>
        <w:rPr>
          <w:b/>
          <w:sz w:val="24"/>
        </w:rPr>
      </w:pPr>
    </w:p>
    <w:p w14:paraId="0A3FB3C9" w14:textId="77777777" w:rsidR="00597855" w:rsidRDefault="00597855" w:rsidP="00597855">
      <w:pPr>
        <w:rPr>
          <w:b/>
          <w:sz w:val="24"/>
        </w:rPr>
      </w:pPr>
      <w:r>
        <w:rPr>
          <w:b/>
          <w:sz w:val="24"/>
        </w:rPr>
        <w:t xml:space="preserve">Name of student: </w:t>
      </w: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sz w:val="24"/>
        </w:rPr>
        <w:fldChar w:fldCharType="end"/>
      </w:r>
    </w:p>
    <w:p w14:paraId="48E0D466" w14:textId="77777777" w:rsidR="00597855" w:rsidRDefault="00597855" w:rsidP="00597855">
      <w:pPr>
        <w:rPr>
          <w:b/>
          <w:sz w:val="24"/>
        </w:rPr>
      </w:pPr>
      <w:r>
        <w:rPr>
          <w:b/>
          <w:sz w:val="24"/>
        </w:rPr>
        <w:t xml:space="preserve">Name of person completing checklist: </w:t>
      </w:r>
      <w:r>
        <w:rPr>
          <w:b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</w:t>
      </w:r>
    </w:p>
    <w:p w14:paraId="7441379A" w14:textId="77777777" w:rsidR="00597855" w:rsidRDefault="00597855" w:rsidP="00597855">
      <w:pPr>
        <w:rPr>
          <w:b/>
          <w:sz w:val="24"/>
        </w:rPr>
      </w:pPr>
      <w:r>
        <w:rPr>
          <w:b/>
          <w:sz w:val="24"/>
        </w:rPr>
        <w:t xml:space="preserve">Date: </w:t>
      </w:r>
      <w:r>
        <w:rPr>
          <w:b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sz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8"/>
        <w:gridCol w:w="1570"/>
        <w:gridCol w:w="528"/>
      </w:tblGrid>
      <w:tr w:rsidR="00597855" w14:paraId="3BAD37D5" w14:textId="77777777" w:rsidTr="0009160B">
        <w:tc>
          <w:tcPr>
            <w:tcW w:w="6918" w:type="dxa"/>
          </w:tcPr>
          <w:p w14:paraId="04FEF407" w14:textId="77777777" w:rsidR="00597855" w:rsidRDefault="00597855" w:rsidP="000916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Activities</w:t>
            </w:r>
          </w:p>
        </w:tc>
        <w:tc>
          <w:tcPr>
            <w:tcW w:w="1570" w:type="dxa"/>
          </w:tcPr>
          <w:p w14:paraId="43E4655E" w14:textId="77777777" w:rsidR="00597855" w:rsidRDefault="00597855" w:rsidP="000916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Guidance section</w:t>
            </w:r>
          </w:p>
        </w:tc>
        <w:tc>
          <w:tcPr>
            <w:tcW w:w="528" w:type="dxa"/>
          </w:tcPr>
          <w:p w14:paraId="2C11A329" w14:textId="77777777" w:rsidR="00597855" w:rsidRDefault="00597855" w:rsidP="0009160B">
            <w:pPr>
              <w:rPr>
                <w:b/>
                <w:sz w:val="24"/>
              </w:rPr>
            </w:pPr>
            <w:r w:rsidRPr="0061203F">
              <w:rPr>
                <w:rFonts w:ascii="Segoe UI Symbol" w:hAnsi="Segoe UI Symbol" w:cs="Segoe UI Symbol"/>
                <w:b/>
                <w:sz w:val="24"/>
              </w:rPr>
              <w:t>✓</w:t>
            </w:r>
          </w:p>
        </w:tc>
      </w:tr>
      <w:tr w:rsidR="00597855" w:rsidRPr="00DA6C81" w14:paraId="64771E6B" w14:textId="77777777" w:rsidTr="0009160B">
        <w:tc>
          <w:tcPr>
            <w:tcW w:w="9016" w:type="dxa"/>
            <w:gridSpan w:val="3"/>
            <w:shd w:val="clear" w:color="auto" w:fill="D9E2F3" w:themeFill="accent1" w:themeFillTint="33"/>
          </w:tcPr>
          <w:p w14:paraId="7F43BB58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  <w:r w:rsidRPr="00DA6C81">
              <w:rPr>
                <w:rFonts w:cstheme="minorHAnsi"/>
                <w:b/>
              </w:rPr>
              <w:t xml:space="preserve">Prior to </w:t>
            </w:r>
            <w:r>
              <w:rPr>
                <w:rFonts w:cstheme="minorHAnsi"/>
                <w:b/>
              </w:rPr>
              <w:t xml:space="preserve">the </w:t>
            </w:r>
            <w:r w:rsidRPr="00DA6C81">
              <w:rPr>
                <w:rFonts w:cstheme="minorHAnsi"/>
                <w:b/>
              </w:rPr>
              <w:t>work experience placement commencing</w:t>
            </w:r>
          </w:p>
        </w:tc>
      </w:tr>
      <w:tr w:rsidR="00597855" w:rsidRPr="00DA6C81" w14:paraId="6FA35C34" w14:textId="77777777" w:rsidTr="0009160B">
        <w:tc>
          <w:tcPr>
            <w:tcW w:w="6918" w:type="dxa"/>
          </w:tcPr>
          <w:p w14:paraId="48D6EE06" w14:textId="77777777" w:rsidR="00597855" w:rsidRPr="00DA6C81" w:rsidRDefault="00597855" w:rsidP="0009160B">
            <w:pPr>
              <w:rPr>
                <w:rFonts w:cstheme="minorHAnsi"/>
              </w:rPr>
            </w:pPr>
            <w:r w:rsidRPr="00DA6C81">
              <w:rPr>
                <w:rFonts w:cstheme="minorHAnsi"/>
              </w:rPr>
              <w:t xml:space="preserve">Ensure student is eligible to undertake work experience </w:t>
            </w:r>
          </w:p>
        </w:tc>
        <w:tc>
          <w:tcPr>
            <w:tcW w:w="1570" w:type="dxa"/>
          </w:tcPr>
          <w:p w14:paraId="78763F62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  <w:r w:rsidRPr="00DA6C81">
              <w:rPr>
                <w:rFonts w:cstheme="minorHAnsi"/>
                <w:b/>
              </w:rPr>
              <w:t>7.2</w:t>
            </w:r>
          </w:p>
        </w:tc>
        <w:tc>
          <w:tcPr>
            <w:tcW w:w="528" w:type="dxa"/>
          </w:tcPr>
          <w:p w14:paraId="6B6A7F52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1930C3A8" w14:textId="77777777" w:rsidTr="0009160B">
        <w:tc>
          <w:tcPr>
            <w:tcW w:w="6918" w:type="dxa"/>
          </w:tcPr>
          <w:p w14:paraId="69153AFD" w14:textId="77777777" w:rsidR="00597855" w:rsidRPr="00DA6C81" w:rsidRDefault="00597855" w:rsidP="0009160B">
            <w:pPr>
              <w:rPr>
                <w:rFonts w:cstheme="minorHAnsi"/>
              </w:rPr>
            </w:pPr>
            <w:r w:rsidRPr="00DA6C81">
              <w:rPr>
                <w:rFonts w:cstheme="minorHAnsi"/>
              </w:rPr>
              <w:t>Ensure the suggested placement hours are permitted in line with legislation for children and young persons</w:t>
            </w:r>
          </w:p>
        </w:tc>
        <w:tc>
          <w:tcPr>
            <w:tcW w:w="1570" w:type="dxa"/>
          </w:tcPr>
          <w:p w14:paraId="6E84DEBD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  <w:r w:rsidRPr="00DA6C81">
              <w:rPr>
                <w:rFonts w:cstheme="minorHAnsi"/>
                <w:b/>
              </w:rPr>
              <w:t>7.5</w:t>
            </w:r>
          </w:p>
        </w:tc>
        <w:tc>
          <w:tcPr>
            <w:tcW w:w="528" w:type="dxa"/>
          </w:tcPr>
          <w:p w14:paraId="7A61E8E6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3385B937" w14:textId="77777777" w:rsidTr="0009160B">
        <w:tc>
          <w:tcPr>
            <w:tcW w:w="6918" w:type="dxa"/>
          </w:tcPr>
          <w:p w14:paraId="7ECEC07F" w14:textId="77777777" w:rsidR="00597855" w:rsidRPr="00DA6C81" w:rsidRDefault="00597855" w:rsidP="0009160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Agreement to placement offer given by HoD/Division etc. </w:t>
            </w:r>
          </w:p>
        </w:tc>
        <w:tc>
          <w:tcPr>
            <w:tcW w:w="1570" w:type="dxa"/>
          </w:tcPr>
          <w:p w14:paraId="5CBBB861" w14:textId="77777777" w:rsidR="00597855" w:rsidRDefault="00597855" w:rsidP="0009160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5.4</w:t>
            </w:r>
          </w:p>
        </w:tc>
        <w:tc>
          <w:tcPr>
            <w:tcW w:w="528" w:type="dxa"/>
          </w:tcPr>
          <w:p w14:paraId="289D3EFA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5EABEDA7" w14:textId="77777777" w:rsidTr="0009160B">
        <w:tc>
          <w:tcPr>
            <w:tcW w:w="6918" w:type="dxa"/>
          </w:tcPr>
          <w:p w14:paraId="2C1F35E5" w14:textId="77777777" w:rsidR="00597855" w:rsidRPr="00DA6C81" w:rsidRDefault="00597855" w:rsidP="0009160B">
            <w:pPr>
              <w:rPr>
                <w:rFonts w:cstheme="minorHAnsi"/>
              </w:rPr>
            </w:pPr>
            <w:r w:rsidRPr="00DA6C81">
              <w:rPr>
                <w:rFonts w:cstheme="minorHAnsi"/>
              </w:rPr>
              <w:t>Consider any points relevant to offering the placement</w:t>
            </w:r>
          </w:p>
        </w:tc>
        <w:tc>
          <w:tcPr>
            <w:tcW w:w="1570" w:type="dxa"/>
          </w:tcPr>
          <w:p w14:paraId="44634D89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Pr="00DA6C81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5</w:t>
            </w:r>
          </w:p>
        </w:tc>
        <w:tc>
          <w:tcPr>
            <w:tcW w:w="528" w:type="dxa"/>
          </w:tcPr>
          <w:p w14:paraId="30A25537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73799629" w14:textId="77777777" w:rsidTr="0009160B">
        <w:tc>
          <w:tcPr>
            <w:tcW w:w="6918" w:type="dxa"/>
          </w:tcPr>
          <w:p w14:paraId="04C9153C" w14:textId="77777777" w:rsidR="00597855" w:rsidRPr="00DA6C81" w:rsidRDefault="00597855" w:rsidP="0009160B">
            <w:pPr>
              <w:rPr>
                <w:rFonts w:cstheme="minorHAnsi"/>
              </w:rPr>
            </w:pPr>
            <w:r w:rsidRPr="00DA6C81">
              <w:rPr>
                <w:rFonts w:cstheme="minorHAnsi"/>
              </w:rPr>
              <w:t>Formalise arrangements with school/college or confirm any unofficial arrangements with student and parent/guardian</w:t>
            </w:r>
            <w:r>
              <w:rPr>
                <w:rFonts w:cstheme="minorHAnsi"/>
              </w:rPr>
              <w:t xml:space="preserve"> as </w:t>
            </w:r>
          </w:p>
        </w:tc>
        <w:tc>
          <w:tcPr>
            <w:tcW w:w="1570" w:type="dxa"/>
          </w:tcPr>
          <w:p w14:paraId="3140520D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528" w:type="dxa"/>
          </w:tcPr>
          <w:p w14:paraId="0B98797E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415A1A82" w14:textId="77777777" w:rsidTr="0009160B">
        <w:tc>
          <w:tcPr>
            <w:tcW w:w="6918" w:type="dxa"/>
          </w:tcPr>
          <w:p w14:paraId="1A82965D" w14:textId="77777777" w:rsidR="00597855" w:rsidRPr="00DA6C81" w:rsidRDefault="00597855" w:rsidP="0009160B">
            <w:pPr>
              <w:rPr>
                <w:rFonts w:cstheme="minorHAnsi"/>
              </w:rPr>
            </w:pPr>
            <w:r>
              <w:rPr>
                <w:rFonts w:cstheme="minorHAnsi"/>
              </w:rPr>
              <w:t>Issue the Workplace Agreement and provide a campus map/link</w:t>
            </w:r>
          </w:p>
        </w:tc>
        <w:tc>
          <w:tcPr>
            <w:tcW w:w="1570" w:type="dxa"/>
          </w:tcPr>
          <w:p w14:paraId="1ECF1DD1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5.2</w:t>
            </w:r>
          </w:p>
        </w:tc>
        <w:tc>
          <w:tcPr>
            <w:tcW w:w="528" w:type="dxa"/>
          </w:tcPr>
          <w:p w14:paraId="0AB79EF7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072830B0" w14:textId="77777777" w:rsidTr="0009160B">
        <w:tc>
          <w:tcPr>
            <w:tcW w:w="6918" w:type="dxa"/>
          </w:tcPr>
          <w:p w14:paraId="38B7D095" w14:textId="77777777" w:rsidR="00597855" w:rsidRPr="00DA6C81" w:rsidRDefault="00597855" w:rsidP="0009160B">
            <w:pPr>
              <w:rPr>
                <w:rFonts w:cstheme="minorHAnsi"/>
              </w:rPr>
            </w:pPr>
            <w:r w:rsidRPr="00DA6C81">
              <w:rPr>
                <w:rFonts w:cstheme="minorHAnsi"/>
              </w:rPr>
              <w:t>Carry out a Right to Work check if the student is 16 years of age</w:t>
            </w:r>
            <w:r>
              <w:rPr>
                <w:rFonts w:cstheme="minorHAnsi"/>
              </w:rPr>
              <w:t xml:space="preserve"> or over</w:t>
            </w:r>
          </w:p>
        </w:tc>
        <w:tc>
          <w:tcPr>
            <w:tcW w:w="1570" w:type="dxa"/>
          </w:tcPr>
          <w:p w14:paraId="7EC9B86B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  <w:r w:rsidRPr="00DA6C81">
              <w:rPr>
                <w:rFonts w:cstheme="minorHAnsi"/>
                <w:b/>
              </w:rPr>
              <w:t>7.3</w:t>
            </w:r>
          </w:p>
        </w:tc>
        <w:tc>
          <w:tcPr>
            <w:tcW w:w="528" w:type="dxa"/>
          </w:tcPr>
          <w:p w14:paraId="1BB4EE57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35B88A09" w14:textId="77777777" w:rsidTr="0009160B">
        <w:tc>
          <w:tcPr>
            <w:tcW w:w="6918" w:type="dxa"/>
          </w:tcPr>
          <w:p w14:paraId="2BE08271" w14:textId="77777777" w:rsidR="00597855" w:rsidRPr="00DA6C81" w:rsidRDefault="00597855" w:rsidP="0009160B">
            <w:pPr>
              <w:rPr>
                <w:rFonts w:cstheme="minorHAnsi"/>
              </w:rPr>
            </w:pPr>
            <w:r w:rsidRPr="00DA6C81">
              <w:rPr>
                <w:rFonts w:cstheme="minorHAnsi"/>
              </w:rPr>
              <w:t>Ensure any DBS checks, if required, are in place</w:t>
            </w:r>
          </w:p>
        </w:tc>
        <w:tc>
          <w:tcPr>
            <w:tcW w:w="1570" w:type="dxa"/>
          </w:tcPr>
          <w:p w14:paraId="5EF8ECDC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  <w:r w:rsidRPr="00DA6C81">
              <w:rPr>
                <w:rFonts w:cstheme="minorHAnsi"/>
                <w:b/>
              </w:rPr>
              <w:t>7.4</w:t>
            </w:r>
          </w:p>
        </w:tc>
        <w:tc>
          <w:tcPr>
            <w:tcW w:w="528" w:type="dxa"/>
          </w:tcPr>
          <w:p w14:paraId="0EA39C86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1B1CE31A" w14:textId="77777777" w:rsidTr="0009160B">
        <w:tc>
          <w:tcPr>
            <w:tcW w:w="6918" w:type="dxa"/>
          </w:tcPr>
          <w:p w14:paraId="03944E72" w14:textId="6AFA44EB" w:rsidR="00597855" w:rsidRPr="00DA6C81" w:rsidRDefault="00597855" w:rsidP="0009160B">
            <w:pPr>
              <w:rPr>
                <w:rFonts w:cstheme="minorHAnsi"/>
              </w:rPr>
            </w:pPr>
            <w:r w:rsidRPr="00DA6C81">
              <w:rPr>
                <w:rFonts w:cstheme="minorHAnsi"/>
              </w:rPr>
              <w:t xml:space="preserve">Ensure that the placement complies with the </w:t>
            </w:r>
            <w:r w:rsidR="00792C14" w:rsidRPr="00792C14">
              <w:rPr>
                <w:rFonts w:cstheme="minorHAnsi"/>
              </w:rPr>
              <w:t xml:space="preserve">Imperial </w:t>
            </w:r>
            <w:r w:rsidRPr="00DA6C81">
              <w:rPr>
                <w:rFonts w:cstheme="minorHAnsi"/>
              </w:rPr>
              <w:t xml:space="preserve">College’s </w:t>
            </w:r>
            <w:hyperlink r:id="rId11" w:history="1">
              <w:r w:rsidRPr="00F861DA">
                <w:rPr>
                  <w:rStyle w:val="Hyperlink"/>
                  <w:rFonts w:eastAsia="Times New Roman" w:cstheme="minorHAnsi"/>
                  <w:color w:val="4472C4" w:themeColor="accent1"/>
                  <w:lang w:eastAsia="en-GB"/>
                </w:rPr>
                <w:t>Child Protection an</w:t>
              </w:r>
              <w:r w:rsidRPr="00F861DA">
                <w:rPr>
                  <w:rStyle w:val="Hyperlink"/>
                  <w:rFonts w:eastAsia="Times New Roman" w:cstheme="minorHAnsi"/>
                  <w:color w:val="4472C4" w:themeColor="accent1"/>
                  <w:lang w:eastAsia="en-GB"/>
                </w:rPr>
                <w:t>d</w:t>
              </w:r>
              <w:r w:rsidRPr="00F861DA">
                <w:rPr>
                  <w:rStyle w:val="Hyperlink"/>
                  <w:rFonts w:eastAsia="Times New Roman" w:cstheme="minorHAnsi"/>
                  <w:color w:val="4472C4" w:themeColor="accent1"/>
                  <w:lang w:eastAsia="en-GB"/>
                </w:rPr>
                <w:t xml:space="preserve"> Safegu</w:t>
              </w:r>
              <w:r w:rsidRPr="00F861DA">
                <w:rPr>
                  <w:rStyle w:val="Hyperlink"/>
                  <w:rFonts w:eastAsia="Times New Roman" w:cstheme="minorHAnsi"/>
                  <w:color w:val="4472C4" w:themeColor="accent1"/>
                  <w:lang w:eastAsia="en-GB"/>
                </w:rPr>
                <w:t>a</w:t>
              </w:r>
              <w:r w:rsidRPr="00F861DA">
                <w:rPr>
                  <w:rStyle w:val="Hyperlink"/>
                  <w:rFonts w:eastAsia="Times New Roman" w:cstheme="minorHAnsi"/>
                  <w:color w:val="4472C4" w:themeColor="accent1"/>
                  <w:lang w:eastAsia="en-GB"/>
                </w:rPr>
                <w:t>rding Policy</w:t>
              </w:r>
              <w:r w:rsidRPr="00F861DA">
                <w:rPr>
                  <w:rStyle w:val="Hyperlink"/>
                  <w:rFonts w:eastAsia="Times New Roman" w:cstheme="minorHAnsi"/>
                  <w:lang w:eastAsia="en-GB"/>
                </w:rPr>
                <w:t>,</w:t>
              </w:r>
            </w:hyperlink>
          </w:p>
        </w:tc>
        <w:tc>
          <w:tcPr>
            <w:tcW w:w="1570" w:type="dxa"/>
          </w:tcPr>
          <w:p w14:paraId="6B92105A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  <w:r w:rsidRPr="00DA6C81">
              <w:rPr>
                <w:rFonts w:cstheme="minorHAnsi"/>
                <w:b/>
              </w:rPr>
              <w:t>8.1</w:t>
            </w:r>
          </w:p>
        </w:tc>
        <w:tc>
          <w:tcPr>
            <w:tcW w:w="528" w:type="dxa"/>
          </w:tcPr>
          <w:p w14:paraId="5D8A3B96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5CEBAE8C" w14:textId="77777777" w:rsidTr="0009160B">
        <w:tc>
          <w:tcPr>
            <w:tcW w:w="6918" w:type="dxa"/>
          </w:tcPr>
          <w:p w14:paraId="1220A8BC" w14:textId="2C3014B4" w:rsidR="00597855" w:rsidRDefault="00597855" w:rsidP="0009160B">
            <w:pPr>
              <w:rPr>
                <w:rFonts w:cstheme="minorHAnsi"/>
              </w:rPr>
            </w:pPr>
            <w:r w:rsidRPr="00DA6C81">
              <w:rPr>
                <w:rFonts w:cstheme="minorHAnsi"/>
              </w:rPr>
              <w:t>Carry out a risk assessment</w:t>
            </w:r>
            <w:r w:rsidR="00A66699">
              <w:rPr>
                <w:rFonts w:cstheme="minorHAnsi"/>
              </w:rPr>
              <w:t>, which should include:</w:t>
            </w:r>
          </w:p>
          <w:p w14:paraId="6FF5431B" w14:textId="0653D206" w:rsidR="00A66699" w:rsidRPr="00A66699" w:rsidRDefault="00A66699" w:rsidP="00025506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A66699">
              <w:rPr>
                <w:rFonts w:cstheme="minorHAnsi"/>
              </w:rPr>
              <w:t>The working environment</w:t>
            </w:r>
            <w:r>
              <w:rPr>
                <w:rFonts w:cstheme="minorHAnsi"/>
              </w:rPr>
              <w:t xml:space="preserve"> and any health and safety aspects that need be considered</w:t>
            </w:r>
          </w:p>
          <w:p w14:paraId="3E412EB8" w14:textId="57D0FB2F" w:rsidR="00A66699" w:rsidRPr="00DA6C81" w:rsidRDefault="00A66699" w:rsidP="00025506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 level of confidentiality the student should have access to </w:t>
            </w:r>
          </w:p>
        </w:tc>
        <w:tc>
          <w:tcPr>
            <w:tcW w:w="1570" w:type="dxa"/>
          </w:tcPr>
          <w:p w14:paraId="65AA0D40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  <w:r w:rsidRPr="00DA6C81">
              <w:rPr>
                <w:rFonts w:cstheme="minorHAnsi"/>
                <w:b/>
              </w:rPr>
              <w:t>8.2</w:t>
            </w:r>
          </w:p>
        </w:tc>
        <w:tc>
          <w:tcPr>
            <w:tcW w:w="528" w:type="dxa"/>
          </w:tcPr>
          <w:p w14:paraId="47CB4A3C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4D5AEF29" w14:textId="77777777" w:rsidTr="0009160B">
        <w:tc>
          <w:tcPr>
            <w:tcW w:w="6918" w:type="dxa"/>
          </w:tcPr>
          <w:p w14:paraId="58940707" w14:textId="77777777" w:rsidR="00597855" w:rsidRPr="00DA6C81" w:rsidRDefault="00597855" w:rsidP="0009160B">
            <w:pPr>
              <w:rPr>
                <w:rFonts w:cstheme="minorHAnsi"/>
              </w:rPr>
            </w:pPr>
            <w:r w:rsidRPr="00DA6C81">
              <w:rPr>
                <w:rFonts w:cstheme="minorHAnsi"/>
              </w:rPr>
              <w:t xml:space="preserve">Draw up a mini induction based on your department’s normal induction process, e.g. where the person will sit, who will greet them on first day arrival, activities they </w:t>
            </w:r>
            <w:r>
              <w:rPr>
                <w:rFonts w:cstheme="minorHAnsi"/>
              </w:rPr>
              <w:t xml:space="preserve">can </w:t>
            </w:r>
            <w:r w:rsidRPr="00DA6C81">
              <w:rPr>
                <w:rFonts w:cstheme="minorHAnsi"/>
              </w:rPr>
              <w:t xml:space="preserve">undertake, </w:t>
            </w:r>
            <w:r>
              <w:rPr>
                <w:rFonts w:cstheme="minorHAnsi"/>
              </w:rPr>
              <w:t xml:space="preserve">who will supervise them, </w:t>
            </w:r>
            <w:r w:rsidRPr="00DA6C81">
              <w:rPr>
                <w:rFonts w:cstheme="minorHAnsi"/>
              </w:rPr>
              <w:t>who their buddy will be etc.</w:t>
            </w:r>
          </w:p>
        </w:tc>
        <w:tc>
          <w:tcPr>
            <w:tcW w:w="1570" w:type="dxa"/>
          </w:tcPr>
          <w:p w14:paraId="41DE6D09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  <w:r w:rsidRPr="00DA6C81">
              <w:rPr>
                <w:rFonts w:cstheme="minorHAnsi"/>
                <w:b/>
              </w:rPr>
              <w:t>9.1</w:t>
            </w:r>
          </w:p>
        </w:tc>
        <w:tc>
          <w:tcPr>
            <w:tcW w:w="528" w:type="dxa"/>
          </w:tcPr>
          <w:p w14:paraId="0D09D5C7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73E231DB" w14:textId="77777777" w:rsidTr="0009160B">
        <w:tc>
          <w:tcPr>
            <w:tcW w:w="6918" w:type="dxa"/>
          </w:tcPr>
          <w:p w14:paraId="3495D6C1" w14:textId="77777777" w:rsidR="00597855" w:rsidRPr="00DA6C81" w:rsidRDefault="00597855" w:rsidP="0009160B">
            <w:pPr>
              <w:rPr>
                <w:rFonts w:cstheme="minorHAnsi"/>
              </w:rPr>
            </w:pPr>
            <w:r>
              <w:rPr>
                <w:rFonts w:cstheme="minorHAnsi"/>
              </w:rPr>
              <w:t>Forward a copy of the Work Experience Placement form to Student Recruitment and Outreach (</w:t>
            </w:r>
            <w:hyperlink r:id="rId12" w:history="1">
              <w:r w:rsidRPr="00A66CD3">
                <w:rPr>
                  <w:rStyle w:val="Hyperlink"/>
                </w:rPr>
                <w:t>outreach@imperial.a</w:t>
              </w:r>
              <w:r w:rsidRPr="00783968">
                <w:rPr>
                  <w:rStyle w:val="Hyperlink"/>
                </w:rPr>
                <w:t>c.uk</w:t>
              </w:r>
            </w:hyperlink>
            <w:r>
              <w:rPr>
                <w:color w:val="161515"/>
              </w:rPr>
              <w:t>),</w:t>
            </w:r>
            <w:r>
              <w:rPr>
                <w:rFonts w:cstheme="minorHAnsi"/>
              </w:rPr>
              <w:t xml:space="preserve"> for their records, if the student has agreed to this on the Work Agreement form.</w:t>
            </w:r>
          </w:p>
        </w:tc>
        <w:tc>
          <w:tcPr>
            <w:tcW w:w="1570" w:type="dxa"/>
          </w:tcPr>
          <w:p w14:paraId="735C824D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8.4</w:t>
            </w:r>
          </w:p>
        </w:tc>
        <w:tc>
          <w:tcPr>
            <w:tcW w:w="528" w:type="dxa"/>
          </w:tcPr>
          <w:p w14:paraId="3EFFBC28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619A7B75" w14:textId="77777777" w:rsidTr="0009160B">
        <w:tc>
          <w:tcPr>
            <w:tcW w:w="6918" w:type="dxa"/>
          </w:tcPr>
          <w:p w14:paraId="479F8AE8" w14:textId="77777777" w:rsidR="00597855" w:rsidRPr="00DA6C81" w:rsidRDefault="00597855" w:rsidP="0009160B">
            <w:pPr>
              <w:rPr>
                <w:rFonts w:cstheme="minorHAnsi"/>
              </w:rPr>
            </w:pPr>
            <w:r>
              <w:rPr>
                <w:rFonts w:cstheme="minorHAnsi"/>
              </w:rPr>
              <w:t>Add any other local arrangements here</w:t>
            </w:r>
          </w:p>
        </w:tc>
        <w:tc>
          <w:tcPr>
            <w:tcW w:w="1570" w:type="dxa"/>
          </w:tcPr>
          <w:p w14:paraId="4EA0B2EF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  <w:tc>
          <w:tcPr>
            <w:tcW w:w="528" w:type="dxa"/>
          </w:tcPr>
          <w:p w14:paraId="05FD4DB3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6BA99010" w14:textId="77777777" w:rsidTr="0009160B">
        <w:tc>
          <w:tcPr>
            <w:tcW w:w="9016" w:type="dxa"/>
            <w:gridSpan w:val="3"/>
            <w:shd w:val="clear" w:color="auto" w:fill="D9E2F3" w:themeFill="accent1" w:themeFillTint="33"/>
          </w:tcPr>
          <w:p w14:paraId="7E7F1084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  <w:r w:rsidRPr="00DA6C81">
              <w:rPr>
                <w:rFonts w:cstheme="minorHAnsi"/>
                <w:b/>
              </w:rPr>
              <w:t>On the</w:t>
            </w:r>
            <w:r>
              <w:rPr>
                <w:rFonts w:cstheme="minorHAnsi"/>
                <w:b/>
              </w:rPr>
              <w:t xml:space="preserve"> student’s</w:t>
            </w:r>
            <w:r w:rsidRPr="00DA6C81">
              <w:rPr>
                <w:rFonts w:cstheme="minorHAnsi"/>
                <w:b/>
              </w:rPr>
              <w:t xml:space="preserve"> first day</w:t>
            </w:r>
          </w:p>
        </w:tc>
      </w:tr>
      <w:tr w:rsidR="00597855" w:rsidRPr="00DA6C81" w14:paraId="40B97D99" w14:textId="77777777" w:rsidTr="0009160B">
        <w:tc>
          <w:tcPr>
            <w:tcW w:w="6918" w:type="dxa"/>
          </w:tcPr>
          <w:p w14:paraId="6308963E" w14:textId="77777777" w:rsidR="00597855" w:rsidRPr="00DA6C81" w:rsidRDefault="00597855" w:rsidP="0009160B">
            <w:pPr>
              <w:rPr>
                <w:rFonts w:cstheme="minorHAnsi"/>
              </w:rPr>
            </w:pPr>
            <w:r w:rsidRPr="00DA6C81">
              <w:rPr>
                <w:rFonts w:cstheme="minorHAnsi"/>
              </w:rPr>
              <w:t>Give an orientation to the working area, e.g. toilets, coffee machine</w:t>
            </w:r>
            <w:r>
              <w:rPr>
                <w:rFonts w:cstheme="minorHAnsi"/>
              </w:rPr>
              <w:t xml:space="preserve"> and a short tour around the building if appropriate.  Providing a campus map may be helpful (if not previously given)</w:t>
            </w:r>
          </w:p>
        </w:tc>
        <w:tc>
          <w:tcPr>
            <w:tcW w:w="1570" w:type="dxa"/>
          </w:tcPr>
          <w:p w14:paraId="5B78C008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9.1</w:t>
            </w:r>
          </w:p>
        </w:tc>
        <w:tc>
          <w:tcPr>
            <w:tcW w:w="528" w:type="dxa"/>
          </w:tcPr>
          <w:p w14:paraId="426BE83E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78F0B07D" w14:textId="77777777" w:rsidTr="0009160B">
        <w:tc>
          <w:tcPr>
            <w:tcW w:w="6918" w:type="dxa"/>
          </w:tcPr>
          <w:p w14:paraId="27141FB7" w14:textId="77777777" w:rsidR="00597855" w:rsidRPr="00DA6C81" w:rsidRDefault="00597855" w:rsidP="0009160B">
            <w:pPr>
              <w:rPr>
                <w:rFonts w:cstheme="minorHAnsi"/>
              </w:rPr>
            </w:pPr>
            <w:r w:rsidRPr="00DA6C81">
              <w:rPr>
                <w:rFonts w:cstheme="minorHAnsi"/>
              </w:rPr>
              <w:t xml:space="preserve">Introduce </w:t>
            </w:r>
            <w:r>
              <w:rPr>
                <w:rFonts w:cstheme="minorHAnsi"/>
              </w:rPr>
              <w:t xml:space="preserve">the </w:t>
            </w:r>
            <w:r w:rsidRPr="00DA6C81">
              <w:rPr>
                <w:rFonts w:cstheme="minorHAnsi"/>
              </w:rPr>
              <w:t xml:space="preserve">student to their buddy (who will be able to let them know </w:t>
            </w:r>
            <w:r>
              <w:rPr>
                <w:rFonts w:cstheme="minorHAnsi"/>
              </w:rPr>
              <w:t xml:space="preserve">about </w:t>
            </w:r>
            <w:r w:rsidRPr="00DA6C81">
              <w:rPr>
                <w:rFonts w:cstheme="minorHAnsi"/>
              </w:rPr>
              <w:t>campus facilities/eateries etc</w:t>
            </w:r>
            <w:r>
              <w:rPr>
                <w:rFonts w:cstheme="minorHAnsi"/>
              </w:rPr>
              <w:t>)</w:t>
            </w:r>
          </w:p>
        </w:tc>
        <w:tc>
          <w:tcPr>
            <w:tcW w:w="1570" w:type="dxa"/>
          </w:tcPr>
          <w:p w14:paraId="4A116DBF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  <w:tc>
          <w:tcPr>
            <w:tcW w:w="528" w:type="dxa"/>
          </w:tcPr>
          <w:p w14:paraId="19AC100E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68E1D869" w14:textId="77777777" w:rsidTr="0009160B">
        <w:tc>
          <w:tcPr>
            <w:tcW w:w="6918" w:type="dxa"/>
          </w:tcPr>
          <w:p w14:paraId="44AFAF95" w14:textId="77777777" w:rsidR="00597855" w:rsidRPr="00DA6C81" w:rsidRDefault="00597855" w:rsidP="0009160B">
            <w:pPr>
              <w:rPr>
                <w:rFonts w:cstheme="minorHAnsi"/>
              </w:rPr>
            </w:pPr>
            <w:r w:rsidRPr="00DA6C81">
              <w:rPr>
                <w:rFonts w:cstheme="minorHAnsi"/>
              </w:rPr>
              <w:t xml:space="preserve">Introduce </w:t>
            </w:r>
            <w:r>
              <w:rPr>
                <w:rFonts w:cstheme="minorHAnsi"/>
              </w:rPr>
              <w:t xml:space="preserve">the </w:t>
            </w:r>
            <w:r w:rsidRPr="00DA6C81">
              <w:rPr>
                <w:rFonts w:cstheme="minorHAnsi"/>
              </w:rPr>
              <w:t>student to other local staff</w:t>
            </w:r>
          </w:p>
        </w:tc>
        <w:tc>
          <w:tcPr>
            <w:tcW w:w="1570" w:type="dxa"/>
          </w:tcPr>
          <w:p w14:paraId="22EFD0DB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  <w:tc>
          <w:tcPr>
            <w:tcW w:w="528" w:type="dxa"/>
          </w:tcPr>
          <w:p w14:paraId="652C2059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300D815C" w14:textId="77777777" w:rsidTr="0009160B">
        <w:tc>
          <w:tcPr>
            <w:tcW w:w="6918" w:type="dxa"/>
          </w:tcPr>
          <w:p w14:paraId="3B382B6E" w14:textId="77777777" w:rsidR="00597855" w:rsidRPr="00DA6C81" w:rsidRDefault="00597855" w:rsidP="0009160B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>
              <w:t>f applicable give the student a short list of names and contact number for those they me need to interact with during the placement</w:t>
            </w:r>
          </w:p>
        </w:tc>
        <w:tc>
          <w:tcPr>
            <w:tcW w:w="1570" w:type="dxa"/>
          </w:tcPr>
          <w:p w14:paraId="74E6FB64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  <w:tc>
          <w:tcPr>
            <w:tcW w:w="528" w:type="dxa"/>
          </w:tcPr>
          <w:p w14:paraId="5C4722C3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242C3C99" w14:textId="77777777" w:rsidTr="0009160B">
        <w:tc>
          <w:tcPr>
            <w:tcW w:w="6918" w:type="dxa"/>
          </w:tcPr>
          <w:p w14:paraId="11287D31" w14:textId="77777777" w:rsidR="00597855" w:rsidRPr="00DA6C81" w:rsidRDefault="00597855" w:rsidP="0009160B">
            <w:pPr>
              <w:rPr>
                <w:rFonts w:cstheme="minorHAnsi"/>
              </w:rPr>
            </w:pPr>
            <w:r w:rsidRPr="00DA6C81">
              <w:rPr>
                <w:rFonts w:cstheme="minorHAnsi"/>
              </w:rPr>
              <w:t>Explain the activities they will undertake etc. during their placement</w:t>
            </w:r>
            <w:r>
              <w:rPr>
                <w:rFonts w:cstheme="minorHAnsi"/>
              </w:rPr>
              <w:t xml:space="preserve"> and let them know who to go to with queries.  Provide them with a short list of contacts and telephone numbers they may need</w:t>
            </w:r>
          </w:p>
        </w:tc>
        <w:tc>
          <w:tcPr>
            <w:tcW w:w="1570" w:type="dxa"/>
          </w:tcPr>
          <w:p w14:paraId="59578150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9.1</w:t>
            </w:r>
          </w:p>
        </w:tc>
        <w:tc>
          <w:tcPr>
            <w:tcW w:w="528" w:type="dxa"/>
          </w:tcPr>
          <w:p w14:paraId="0D08C2F7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18D4AE0F" w14:textId="77777777" w:rsidTr="0009160B">
        <w:tc>
          <w:tcPr>
            <w:tcW w:w="6918" w:type="dxa"/>
          </w:tcPr>
          <w:p w14:paraId="501D7C44" w14:textId="77777777" w:rsidR="00597855" w:rsidRPr="00DA6C81" w:rsidRDefault="00597855" w:rsidP="0009160B">
            <w:pPr>
              <w:rPr>
                <w:rFonts w:cstheme="minorHAnsi"/>
              </w:rPr>
            </w:pPr>
            <w:r w:rsidRPr="00DA6C81">
              <w:rPr>
                <w:rFonts w:cstheme="minorHAnsi"/>
              </w:rPr>
              <w:t>Get any IT access arranged, and ID card issued</w:t>
            </w:r>
          </w:p>
        </w:tc>
        <w:tc>
          <w:tcPr>
            <w:tcW w:w="1570" w:type="dxa"/>
          </w:tcPr>
          <w:p w14:paraId="16352FDF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  <w:tc>
          <w:tcPr>
            <w:tcW w:w="528" w:type="dxa"/>
          </w:tcPr>
          <w:p w14:paraId="117A3875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74EFE006" w14:textId="77777777" w:rsidTr="0009160B">
        <w:tc>
          <w:tcPr>
            <w:tcW w:w="6918" w:type="dxa"/>
          </w:tcPr>
          <w:p w14:paraId="322628DA" w14:textId="017B0764" w:rsidR="00597855" w:rsidRPr="00DA6C81" w:rsidRDefault="00597855" w:rsidP="0009160B">
            <w:pPr>
              <w:rPr>
                <w:rFonts w:cstheme="minorHAnsi"/>
              </w:rPr>
            </w:pPr>
            <w:r w:rsidRPr="00DA6C81">
              <w:rPr>
                <w:rFonts w:eastAsia="Times New Roman" w:cstheme="minorHAnsi"/>
                <w:bCs/>
                <w:lang w:eastAsia="en-GB"/>
              </w:rPr>
              <w:t>Explain how the student’s personal information will be handled</w:t>
            </w:r>
            <w:r>
              <w:rPr>
                <w:rFonts w:eastAsia="Times New Roman" w:cstheme="minorHAnsi"/>
                <w:bCs/>
                <w:lang w:eastAsia="en-GB"/>
              </w:rPr>
              <w:t xml:space="preserve"> by </w:t>
            </w:r>
            <w:r w:rsidR="00792C14" w:rsidRPr="00792C14">
              <w:rPr>
                <w:rFonts w:eastAsia="Times New Roman" w:cstheme="minorHAnsi"/>
                <w:bCs/>
                <w:lang w:eastAsia="en-GB"/>
              </w:rPr>
              <w:t xml:space="preserve">Imperial </w:t>
            </w:r>
            <w:r w:rsidRPr="00DA6C81">
              <w:rPr>
                <w:rFonts w:eastAsia="Times New Roman" w:cstheme="minorHAnsi"/>
                <w:bCs/>
                <w:lang w:eastAsia="en-GB"/>
              </w:rPr>
              <w:t>College</w:t>
            </w:r>
            <w:r>
              <w:rPr>
                <w:rFonts w:eastAsia="Times New Roman" w:cstheme="minorHAnsi"/>
                <w:bCs/>
                <w:lang w:eastAsia="en-GB"/>
              </w:rPr>
              <w:t>, you may share the</w:t>
            </w:r>
            <w:r w:rsidR="002F03D9">
              <w:rPr>
                <w:rFonts w:eastAsia="Times New Roman" w:cstheme="minorHAnsi"/>
                <w:bCs/>
                <w:lang w:eastAsia="en-GB"/>
              </w:rPr>
              <w:t xml:space="preserve"> </w:t>
            </w:r>
            <w:r w:rsidRPr="00DA6C81">
              <w:rPr>
                <w:rFonts w:eastAsia="Times New Roman" w:cstheme="minorHAnsi"/>
                <w:bCs/>
                <w:lang w:eastAsia="en-GB"/>
              </w:rPr>
              <w:t xml:space="preserve"> </w:t>
            </w:r>
            <w:hyperlink r:id="rId13" w:history="1">
              <w:r w:rsidR="002F03D9">
                <w:rPr>
                  <w:color w:val="0000FF"/>
                  <w:u w:val="single"/>
                </w:rPr>
                <w:t>Privacy Not</w:t>
              </w:r>
              <w:r w:rsidR="002F03D9">
                <w:rPr>
                  <w:color w:val="0000FF"/>
                  <w:u w:val="single"/>
                </w:rPr>
                <w:t>i</w:t>
              </w:r>
              <w:r w:rsidR="002F03D9">
                <w:rPr>
                  <w:color w:val="0000FF"/>
                  <w:u w:val="single"/>
                </w:rPr>
                <w:t xml:space="preserve">ce for Staff and </w:t>
              </w:r>
              <w:r w:rsidR="002F03D9">
                <w:rPr>
                  <w:color w:val="0000FF"/>
                  <w:u w:val="single"/>
                </w:rPr>
                <w:lastRenderedPageBreak/>
                <w:t>Prospective Staff</w:t>
              </w:r>
            </w:hyperlink>
            <w:r w:rsidR="002F03D9">
              <w:t xml:space="preserve">. </w:t>
            </w:r>
            <w:r w:rsidR="002F03D9" w:rsidRPr="002F03D9">
              <w:t xml:space="preserve">The student will also have been provided with a link to the </w:t>
            </w:r>
            <w:hyperlink r:id="rId14" w:history="1">
              <w:r w:rsidR="002F03D9">
                <w:rPr>
                  <w:color w:val="0000FF"/>
                  <w:u w:val="single"/>
                </w:rPr>
                <w:t>Student Recr</w:t>
              </w:r>
              <w:r w:rsidR="002F03D9">
                <w:rPr>
                  <w:color w:val="0000FF"/>
                  <w:u w:val="single"/>
                </w:rPr>
                <w:t>u</w:t>
              </w:r>
              <w:r w:rsidR="002F03D9">
                <w:rPr>
                  <w:color w:val="0000FF"/>
                  <w:u w:val="single"/>
                </w:rPr>
                <w:t>itment and Outreach Data Privacy Notice</w:t>
              </w:r>
            </w:hyperlink>
            <w:r w:rsidR="002F03D9">
              <w:t xml:space="preserve"> </w:t>
            </w:r>
            <w:r w:rsidR="002F03D9" w:rsidRPr="002F03D9">
              <w:t>within the Workplace Agreement.</w:t>
            </w:r>
          </w:p>
        </w:tc>
        <w:tc>
          <w:tcPr>
            <w:tcW w:w="1570" w:type="dxa"/>
          </w:tcPr>
          <w:p w14:paraId="7CF9FDE5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  <w:r w:rsidRPr="00DA6C81">
              <w:rPr>
                <w:rFonts w:cstheme="minorHAnsi"/>
                <w:b/>
              </w:rPr>
              <w:lastRenderedPageBreak/>
              <w:t>8.4</w:t>
            </w:r>
          </w:p>
        </w:tc>
        <w:tc>
          <w:tcPr>
            <w:tcW w:w="528" w:type="dxa"/>
          </w:tcPr>
          <w:p w14:paraId="1D8E3E11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3AAFD2B5" w14:textId="77777777" w:rsidTr="0009160B">
        <w:tc>
          <w:tcPr>
            <w:tcW w:w="6918" w:type="dxa"/>
          </w:tcPr>
          <w:p w14:paraId="31723BD1" w14:textId="0CF4AF10" w:rsidR="00597855" w:rsidRPr="00DA6C81" w:rsidRDefault="00597855" w:rsidP="0009160B">
            <w:pPr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 xml:space="preserve">Carry out the </w:t>
            </w:r>
            <w:hyperlink r:id="rId15" w:history="1">
              <w:r w:rsidR="002F03D9">
                <w:rPr>
                  <w:color w:val="0000FF"/>
                  <w:u w:val="single"/>
                </w:rPr>
                <w:t>Day One He</w:t>
              </w:r>
              <w:r w:rsidR="002F03D9">
                <w:rPr>
                  <w:color w:val="0000FF"/>
                  <w:u w:val="single"/>
                </w:rPr>
                <w:t>a</w:t>
              </w:r>
              <w:r w:rsidR="002F03D9">
                <w:rPr>
                  <w:color w:val="0000FF"/>
                  <w:u w:val="single"/>
                </w:rPr>
                <w:t>lth and Safety Induction</w:t>
              </w:r>
            </w:hyperlink>
            <w:r w:rsidR="002F03D9">
              <w:t xml:space="preserve"> </w:t>
            </w:r>
          </w:p>
        </w:tc>
        <w:tc>
          <w:tcPr>
            <w:tcW w:w="1570" w:type="dxa"/>
          </w:tcPr>
          <w:p w14:paraId="066DA1A9" w14:textId="77777777" w:rsidR="00597855" w:rsidRDefault="00597855" w:rsidP="0009160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9.2</w:t>
            </w:r>
          </w:p>
        </w:tc>
        <w:tc>
          <w:tcPr>
            <w:tcW w:w="528" w:type="dxa"/>
          </w:tcPr>
          <w:p w14:paraId="36DF96FA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73584026" w14:textId="77777777" w:rsidTr="0009160B">
        <w:tc>
          <w:tcPr>
            <w:tcW w:w="6918" w:type="dxa"/>
          </w:tcPr>
          <w:p w14:paraId="06333416" w14:textId="77777777" w:rsidR="00597855" w:rsidRPr="00DA6C81" w:rsidRDefault="00597855" w:rsidP="0009160B">
            <w:pPr>
              <w:rPr>
                <w:rFonts w:eastAsia="Times New Roman" w:cstheme="minorHAnsi"/>
                <w:bCs/>
                <w:lang w:eastAsia="en-GB"/>
              </w:rPr>
            </w:pPr>
            <w:r w:rsidRPr="00DA6C81">
              <w:rPr>
                <w:rFonts w:eastAsia="Times New Roman" w:cstheme="minorHAnsi"/>
                <w:bCs/>
                <w:lang w:eastAsia="en-GB"/>
              </w:rPr>
              <w:t xml:space="preserve">Explain expectations in relation to confidentiality, behaviour, health and safety etc. </w:t>
            </w:r>
          </w:p>
          <w:p w14:paraId="7561EAA8" w14:textId="77777777" w:rsidR="00597855" w:rsidRPr="00DA6C81" w:rsidRDefault="00597855" w:rsidP="0009160B">
            <w:pPr>
              <w:rPr>
                <w:rFonts w:eastAsia="Times New Roman" w:cstheme="minorHAnsi"/>
                <w:bCs/>
                <w:lang w:eastAsia="en-GB"/>
              </w:rPr>
            </w:pPr>
            <w:r w:rsidRPr="00DA6C81">
              <w:rPr>
                <w:rFonts w:eastAsia="Times New Roman" w:cstheme="minorHAnsi"/>
                <w:bCs/>
                <w:lang w:eastAsia="en-GB"/>
              </w:rPr>
              <w:t xml:space="preserve">For informal placements, Give the student the Work Experience </w:t>
            </w:r>
            <w:r>
              <w:rPr>
                <w:rFonts w:eastAsia="Times New Roman" w:cstheme="minorHAnsi"/>
                <w:bCs/>
                <w:lang w:eastAsia="en-GB"/>
              </w:rPr>
              <w:t>Agreement</w:t>
            </w:r>
            <w:r w:rsidRPr="00DA6C81">
              <w:rPr>
                <w:rFonts w:eastAsia="Times New Roman" w:cstheme="minorHAnsi"/>
                <w:bCs/>
                <w:lang w:eastAsia="en-GB"/>
              </w:rPr>
              <w:t xml:space="preserve"> document and explain the ‘Responsibilities’ section</w:t>
            </w:r>
            <w:r>
              <w:rPr>
                <w:rFonts w:eastAsia="Times New Roman" w:cstheme="minorHAnsi"/>
                <w:bCs/>
                <w:lang w:eastAsia="en-GB"/>
              </w:rPr>
              <w:t xml:space="preserve"> contained within</w:t>
            </w:r>
          </w:p>
        </w:tc>
        <w:tc>
          <w:tcPr>
            <w:tcW w:w="1570" w:type="dxa"/>
          </w:tcPr>
          <w:p w14:paraId="487437DA" w14:textId="77777777" w:rsidR="00597855" w:rsidRPr="00053F7B" w:rsidRDefault="00597855" w:rsidP="0009160B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9.4 </w:t>
            </w:r>
            <w:r>
              <w:rPr>
                <w:rFonts w:cstheme="minorHAnsi"/>
              </w:rPr>
              <w:t>(for confidentiality)</w:t>
            </w:r>
          </w:p>
        </w:tc>
        <w:tc>
          <w:tcPr>
            <w:tcW w:w="528" w:type="dxa"/>
          </w:tcPr>
          <w:p w14:paraId="2D8F73BF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491DA692" w14:textId="77777777" w:rsidTr="0009160B">
        <w:tc>
          <w:tcPr>
            <w:tcW w:w="6918" w:type="dxa"/>
          </w:tcPr>
          <w:p w14:paraId="1BA1E2E0" w14:textId="77777777" w:rsidR="00597855" w:rsidRPr="00DA6C81" w:rsidRDefault="00597855" w:rsidP="0009160B">
            <w:pPr>
              <w:rPr>
                <w:rFonts w:eastAsia="Times New Roman" w:cstheme="minorHAnsi"/>
                <w:bCs/>
                <w:lang w:eastAsia="en-GB"/>
              </w:rPr>
            </w:pPr>
            <w:r w:rsidRPr="00DA6C81">
              <w:rPr>
                <w:rFonts w:eastAsia="Times New Roman" w:cstheme="minorHAnsi"/>
                <w:bCs/>
                <w:lang w:eastAsia="en-GB"/>
              </w:rPr>
              <w:t>Carry out any other mini induction processes locally agreed</w:t>
            </w:r>
          </w:p>
        </w:tc>
        <w:tc>
          <w:tcPr>
            <w:tcW w:w="1570" w:type="dxa"/>
          </w:tcPr>
          <w:p w14:paraId="2C896299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  <w:tc>
          <w:tcPr>
            <w:tcW w:w="528" w:type="dxa"/>
          </w:tcPr>
          <w:p w14:paraId="2D985C67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2B9DF342" w14:textId="77777777" w:rsidTr="0009160B">
        <w:tc>
          <w:tcPr>
            <w:tcW w:w="6918" w:type="dxa"/>
          </w:tcPr>
          <w:p w14:paraId="118C1000" w14:textId="77777777" w:rsidR="00597855" w:rsidRPr="00DA6C81" w:rsidRDefault="00597855" w:rsidP="0009160B">
            <w:pPr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 xml:space="preserve">Arrange when you will next meet with them </w:t>
            </w:r>
          </w:p>
        </w:tc>
        <w:tc>
          <w:tcPr>
            <w:tcW w:w="1570" w:type="dxa"/>
          </w:tcPr>
          <w:p w14:paraId="454E8520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  <w:tc>
          <w:tcPr>
            <w:tcW w:w="528" w:type="dxa"/>
          </w:tcPr>
          <w:p w14:paraId="7055EE25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58C7D2D6" w14:textId="77777777" w:rsidTr="0009160B">
        <w:tc>
          <w:tcPr>
            <w:tcW w:w="6918" w:type="dxa"/>
          </w:tcPr>
          <w:p w14:paraId="658A0184" w14:textId="77777777" w:rsidR="00597855" w:rsidRPr="00DA6C81" w:rsidRDefault="00597855" w:rsidP="0009160B">
            <w:pPr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Add any other local arrangements here</w:t>
            </w:r>
          </w:p>
        </w:tc>
        <w:tc>
          <w:tcPr>
            <w:tcW w:w="1570" w:type="dxa"/>
          </w:tcPr>
          <w:p w14:paraId="7A691D49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  <w:tc>
          <w:tcPr>
            <w:tcW w:w="528" w:type="dxa"/>
          </w:tcPr>
          <w:p w14:paraId="2D956EC9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  <w:tr w:rsidR="00597855" w:rsidRPr="00DA6C81" w14:paraId="472E304D" w14:textId="77777777" w:rsidTr="0009160B">
        <w:tc>
          <w:tcPr>
            <w:tcW w:w="6918" w:type="dxa"/>
          </w:tcPr>
          <w:p w14:paraId="04F02FF7" w14:textId="77777777" w:rsidR="00597855" w:rsidRPr="00DA6C81" w:rsidRDefault="00597855" w:rsidP="0009160B">
            <w:pPr>
              <w:rPr>
                <w:rFonts w:eastAsia="Times New Roman" w:cstheme="minorHAnsi"/>
                <w:bCs/>
                <w:lang w:eastAsia="en-GB"/>
              </w:rPr>
            </w:pPr>
          </w:p>
        </w:tc>
        <w:tc>
          <w:tcPr>
            <w:tcW w:w="1570" w:type="dxa"/>
          </w:tcPr>
          <w:p w14:paraId="0D6CD081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  <w:tc>
          <w:tcPr>
            <w:tcW w:w="528" w:type="dxa"/>
          </w:tcPr>
          <w:p w14:paraId="22879A11" w14:textId="77777777" w:rsidR="00597855" w:rsidRPr="00DA6C81" w:rsidRDefault="00597855" w:rsidP="0009160B">
            <w:pPr>
              <w:rPr>
                <w:rFonts w:cstheme="minorHAnsi"/>
                <w:b/>
              </w:rPr>
            </w:pPr>
          </w:p>
        </w:tc>
      </w:tr>
    </w:tbl>
    <w:p w14:paraId="51FFE7AB" w14:textId="77777777" w:rsidR="00597855" w:rsidRPr="00DA6C81" w:rsidRDefault="00597855" w:rsidP="00597855">
      <w:pPr>
        <w:rPr>
          <w:rFonts w:cstheme="minorHAnsi"/>
          <w:b/>
        </w:rPr>
      </w:pPr>
    </w:p>
    <w:p w14:paraId="5ED2A25A" w14:textId="77777777" w:rsidR="00597855" w:rsidRPr="0004327E" w:rsidRDefault="00597855" w:rsidP="000929C7">
      <w:pPr>
        <w:rPr>
          <w:rFonts w:cstheme="minorHAnsi"/>
        </w:rPr>
      </w:pPr>
    </w:p>
    <w:sectPr w:rsidR="00597855" w:rsidRPr="0004327E" w:rsidSect="00597855">
      <w:headerReference w:type="default" r:id="rId16"/>
      <w:footerReference w:type="default" r:id="rId17"/>
      <w:pgSz w:w="11906" w:h="16838"/>
      <w:pgMar w:top="567" w:right="1440" w:bottom="426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40E3A" w14:textId="77777777" w:rsidR="00EC5E0B" w:rsidRDefault="00EC5E0B" w:rsidP="00581E7A">
      <w:pPr>
        <w:spacing w:after="0" w:line="240" w:lineRule="auto"/>
      </w:pPr>
      <w:r>
        <w:separator/>
      </w:r>
    </w:p>
  </w:endnote>
  <w:endnote w:type="continuationSeparator" w:id="0">
    <w:p w14:paraId="0424123C" w14:textId="77777777" w:rsidR="00EC5E0B" w:rsidRDefault="00EC5E0B" w:rsidP="0058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8958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1DD5D4" w14:textId="7609DC5C" w:rsidR="0009160B" w:rsidRDefault="000916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738291" w14:textId="77777777" w:rsidR="0009160B" w:rsidRPr="00581E7A" w:rsidRDefault="0009160B" w:rsidP="00581E7A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0791F" w14:textId="77777777" w:rsidR="00EC5E0B" w:rsidRDefault="00EC5E0B" w:rsidP="00581E7A">
      <w:pPr>
        <w:spacing w:after="0" w:line="240" w:lineRule="auto"/>
      </w:pPr>
      <w:r>
        <w:separator/>
      </w:r>
    </w:p>
  </w:footnote>
  <w:footnote w:type="continuationSeparator" w:id="0">
    <w:p w14:paraId="4EB2DC27" w14:textId="77777777" w:rsidR="00EC5E0B" w:rsidRDefault="00EC5E0B" w:rsidP="0058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CB84" w14:textId="2F1CBB66" w:rsidR="0009160B" w:rsidRDefault="00091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032"/>
    <w:multiLevelType w:val="hybridMultilevel"/>
    <w:tmpl w:val="2376D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502E"/>
    <w:multiLevelType w:val="multilevel"/>
    <w:tmpl w:val="5B8E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D72D68"/>
    <w:multiLevelType w:val="hybridMultilevel"/>
    <w:tmpl w:val="2F147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11A7E"/>
    <w:multiLevelType w:val="hybridMultilevel"/>
    <w:tmpl w:val="2A06AC9C"/>
    <w:lvl w:ilvl="0" w:tplc="9E48D99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C3B02"/>
    <w:multiLevelType w:val="multilevel"/>
    <w:tmpl w:val="FF88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AE3E96"/>
    <w:multiLevelType w:val="hybridMultilevel"/>
    <w:tmpl w:val="7294F94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89452AB"/>
    <w:multiLevelType w:val="hybridMultilevel"/>
    <w:tmpl w:val="7EB6794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D26299F"/>
    <w:multiLevelType w:val="hybridMultilevel"/>
    <w:tmpl w:val="D2545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A52D8"/>
    <w:multiLevelType w:val="multilevel"/>
    <w:tmpl w:val="CD34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F4505F"/>
    <w:multiLevelType w:val="hybridMultilevel"/>
    <w:tmpl w:val="33B056A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43F43195"/>
    <w:multiLevelType w:val="multilevel"/>
    <w:tmpl w:val="A836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D7E5F"/>
    <w:multiLevelType w:val="hybridMultilevel"/>
    <w:tmpl w:val="588661DC"/>
    <w:lvl w:ilvl="0" w:tplc="B71C3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6316F"/>
    <w:multiLevelType w:val="hybridMultilevel"/>
    <w:tmpl w:val="41A8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67C2E"/>
    <w:multiLevelType w:val="hybridMultilevel"/>
    <w:tmpl w:val="B158F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C4A6D"/>
    <w:multiLevelType w:val="multilevel"/>
    <w:tmpl w:val="E0E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4E6D43"/>
    <w:multiLevelType w:val="hybridMultilevel"/>
    <w:tmpl w:val="F2122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30C24"/>
    <w:multiLevelType w:val="hybridMultilevel"/>
    <w:tmpl w:val="324841F0"/>
    <w:lvl w:ilvl="0" w:tplc="BA283D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80BFC"/>
    <w:multiLevelType w:val="hybridMultilevel"/>
    <w:tmpl w:val="1C58AD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413C9"/>
    <w:multiLevelType w:val="hybridMultilevel"/>
    <w:tmpl w:val="8048C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F7F84"/>
    <w:multiLevelType w:val="hybridMultilevel"/>
    <w:tmpl w:val="2C2E6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E6E46"/>
    <w:multiLevelType w:val="multilevel"/>
    <w:tmpl w:val="8B70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6413F4"/>
    <w:multiLevelType w:val="multilevel"/>
    <w:tmpl w:val="3C68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2D5E00"/>
    <w:multiLevelType w:val="multilevel"/>
    <w:tmpl w:val="E5A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11"/>
  </w:num>
  <w:num w:numId="6">
    <w:abstractNumId w:val="21"/>
  </w:num>
  <w:num w:numId="7">
    <w:abstractNumId w:val="14"/>
  </w:num>
  <w:num w:numId="8">
    <w:abstractNumId w:val="20"/>
  </w:num>
  <w:num w:numId="9">
    <w:abstractNumId w:val="22"/>
  </w:num>
  <w:num w:numId="10">
    <w:abstractNumId w:val="10"/>
  </w:num>
  <w:num w:numId="11">
    <w:abstractNumId w:val="6"/>
  </w:num>
  <w:num w:numId="12">
    <w:abstractNumId w:val="15"/>
  </w:num>
  <w:num w:numId="13">
    <w:abstractNumId w:val="9"/>
  </w:num>
  <w:num w:numId="14">
    <w:abstractNumId w:val="18"/>
  </w:num>
  <w:num w:numId="15">
    <w:abstractNumId w:val="7"/>
  </w:num>
  <w:num w:numId="16">
    <w:abstractNumId w:val="17"/>
  </w:num>
  <w:num w:numId="17">
    <w:abstractNumId w:val="3"/>
  </w:num>
  <w:num w:numId="18">
    <w:abstractNumId w:val="2"/>
  </w:num>
  <w:num w:numId="19">
    <w:abstractNumId w:val="16"/>
  </w:num>
  <w:num w:numId="20">
    <w:abstractNumId w:val="12"/>
  </w:num>
  <w:num w:numId="21">
    <w:abstractNumId w:val="0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AA8"/>
    <w:rsid w:val="00024C2F"/>
    <w:rsid w:val="00025506"/>
    <w:rsid w:val="000360EB"/>
    <w:rsid w:val="0004327E"/>
    <w:rsid w:val="00051D5E"/>
    <w:rsid w:val="00053E83"/>
    <w:rsid w:val="000828D5"/>
    <w:rsid w:val="0009160B"/>
    <w:rsid w:val="000929C7"/>
    <w:rsid w:val="00094BCE"/>
    <w:rsid w:val="000A3330"/>
    <w:rsid w:val="000A45AD"/>
    <w:rsid w:val="000F468B"/>
    <w:rsid w:val="001111C9"/>
    <w:rsid w:val="00113217"/>
    <w:rsid w:val="00154BE5"/>
    <w:rsid w:val="00182F7A"/>
    <w:rsid w:val="001865EF"/>
    <w:rsid w:val="001A2C86"/>
    <w:rsid w:val="001A6A68"/>
    <w:rsid w:val="001C1740"/>
    <w:rsid w:val="001C2ED5"/>
    <w:rsid w:val="001D2EFC"/>
    <w:rsid w:val="00244ECA"/>
    <w:rsid w:val="00265163"/>
    <w:rsid w:val="002A31CE"/>
    <w:rsid w:val="002E4898"/>
    <w:rsid w:val="002F03D9"/>
    <w:rsid w:val="002F611E"/>
    <w:rsid w:val="0030349F"/>
    <w:rsid w:val="003254EA"/>
    <w:rsid w:val="00326F65"/>
    <w:rsid w:val="00327047"/>
    <w:rsid w:val="0032715F"/>
    <w:rsid w:val="00364DF6"/>
    <w:rsid w:val="00365F61"/>
    <w:rsid w:val="0037764B"/>
    <w:rsid w:val="00396FA8"/>
    <w:rsid w:val="003B73DE"/>
    <w:rsid w:val="00415AA8"/>
    <w:rsid w:val="00445A97"/>
    <w:rsid w:val="00461238"/>
    <w:rsid w:val="00485A88"/>
    <w:rsid w:val="00493B06"/>
    <w:rsid w:val="004A1AA3"/>
    <w:rsid w:val="004B47B4"/>
    <w:rsid w:val="004B5301"/>
    <w:rsid w:val="004E068F"/>
    <w:rsid w:val="00531EEA"/>
    <w:rsid w:val="00547B56"/>
    <w:rsid w:val="00552328"/>
    <w:rsid w:val="005732D3"/>
    <w:rsid w:val="00574265"/>
    <w:rsid w:val="00581E7A"/>
    <w:rsid w:val="00597855"/>
    <w:rsid w:val="005B23B8"/>
    <w:rsid w:val="005B4B1A"/>
    <w:rsid w:val="005D299C"/>
    <w:rsid w:val="005F01AF"/>
    <w:rsid w:val="00640394"/>
    <w:rsid w:val="0065242A"/>
    <w:rsid w:val="006766F8"/>
    <w:rsid w:val="006802A6"/>
    <w:rsid w:val="006811CA"/>
    <w:rsid w:val="00705FBE"/>
    <w:rsid w:val="0072303B"/>
    <w:rsid w:val="00727FAC"/>
    <w:rsid w:val="00777679"/>
    <w:rsid w:val="00792C14"/>
    <w:rsid w:val="007B6FFD"/>
    <w:rsid w:val="007C53AD"/>
    <w:rsid w:val="007C6956"/>
    <w:rsid w:val="007D6946"/>
    <w:rsid w:val="007F2ACD"/>
    <w:rsid w:val="00803FC5"/>
    <w:rsid w:val="008065B8"/>
    <w:rsid w:val="00825D16"/>
    <w:rsid w:val="00845085"/>
    <w:rsid w:val="00857306"/>
    <w:rsid w:val="00860838"/>
    <w:rsid w:val="00871A5E"/>
    <w:rsid w:val="00891EEE"/>
    <w:rsid w:val="008A77B5"/>
    <w:rsid w:val="008E2392"/>
    <w:rsid w:val="009121DD"/>
    <w:rsid w:val="00925F00"/>
    <w:rsid w:val="0096598D"/>
    <w:rsid w:val="009731D4"/>
    <w:rsid w:val="00977252"/>
    <w:rsid w:val="0098062F"/>
    <w:rsid w:val="009966B2"/>
    <w:rsid w:val="009E6ECA"/>
    <w:rsid w:val="009F3A43"/>
    <w:rsid w:val="00A130AF"/>
    <w:rsid w:val="00A22AF9"/>
    <w:rsid w:val="00A24D4B"/>
    <w:rsid w:val="00A31B9F"/>
    <w:rsid w:val="00A66699"/>
    <w:rsid w:val="00A87C99"/>
    <w:rsid w:val="00A91AE2"/>
    <w:rsid w:val="00AA16BC"/>
    <w:rsid w:val="00AA581E"/>
    <w:rsid w:val="00AC0977"/>
    <w:rsid w:val="00AF4E3E"/>
    <w:rsid w:val="00B10D1A"/>
    <w:rsid w:val="00B406AF"/>
    <w:rsid w:val="00B8095D"/>
    <w:rsid w:val="00B97689"/>
    <w:rsid w:val="00BB2286"/>
    <w:rsid w:val="00BB34B5"/>
    <w:rsid w:val="00BD1997"/>
    <w:rsid w:val="00BE1145"/>
    <w:rsid w:val="00C252D7"/>
    <w:rsid w:val="00C805AB"/>
    <w:rsid w:val="00C926AB"/>
    <w:rsid w:val="00CA3F30"/>
    <w:rsid w:val="00CC04EF"/>
    <w:rsid w:val="00D00F0A"/>
    <w:rsid w:val="00D016D1"/>
    <w:rsid w:val="00D10E5B"/>
    <w:rsid w:val="00D125C5"/>
    <w:rsid w:val="00D2286A"/>
    <w:rsid w:val="00D245C5"/>
    <w:rsid w:val="00D46D69"/>
    <w:rsid w:val="00D46EB1"/>
    <w:rsid w:val="00D55DBF"/>
    <w:rsid w:val="00D7680F"/>
    <w:rsid w:val="00D90328"/>
    <w:rsid w:val="00D95005"/>
    <w:rsid w:val="00D9512B"/>
    <w:rsid w:val="00DC3E0F"/>
    <w:rsid w:val="00DC5909"/>
    <w:rsid w:val="00DD082A"/>
    <w:rsid w:val="00DE0C25"/>
    <w:rsid w:val="00DE5DDA"/>
    <w:rsid w:val="00DF0B9E"/>
    <w:rsid w:val="00E00EC2"/>
    <w:rsid w:val="00E12882"/>
    <w:rsid w:val="00E42F53"/>
    <w:rsid w:val="00E47A6A"/>
    <w:rsid w:val="00E50CC0"/>
    <w:rsid w:val="00E52262"/>
    <w:rsid w:val="00E72D5A"/>
    <w:rsid w:val="00EA01E3"/>
    <w:rsid w:val="00EB1C79"/>
    <w:rsid w:val="00EB3F8D"/>
    <w:rsid w:val="00EC1F23"/>
    <w:rsid w:val="00EC32C7"/>
    <w:rsid w:val="00EC5E0B"/>
    <w:rsid w:val="00ED26C3"/>
    <w:rsid w:val="00F15BF3"/>
    <w:rsid w:val="00F268AF"/>
    <w:rsid w:val="00F33760"/>
    <w:rsid w:val="00F43393"/>
    <w:rsid w:val="00F861DA"/>
    <w:rsid w:val="00F96868"/>
    <w:rsid w:val="00F96CDA"/>
    <w:rsid w:val="00FA5E61"/>
    <w:rsid w:val="00FD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C327E7"/>
  <w15:chartTrackingRefBased/>
  <w15:docId w15:val="{D17D0ADE-6D71-415C-AAE5-98F9AA3A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5A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15A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5AA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15AA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415A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15AA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9768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27FA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3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1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740"/>
    <w:rPr>
      <w:b/>
      <w:bCs/>
      <w:sz w:val="20"/>
      <w:szCs w:val="20"/>
    </w:rPr>
  </w:style>
  <w:style w:type="paragraph" w:customStyle="1" w:styleId="Default">
    <w:name w:val="Default"/>
    <w:rsid w:val="002651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966B2"/>
    <w:pPr>
      <w:spacing w:after="0" w:line="240" w:lineRule="auto"/>
    </w:pPr>
  </w:style>
  <w:style w:type="character" w:customStyle="1" w:styleId="e24kjd">
    <w:name w:val="e24kjd"/>
    <w:basedOn w:val="DefaultParagraphFont"/>
    <w:rsid w:val="00DD082A"/>
  </w:style>
  <w:style w:type="character" w:styleId="Emphasis">
    <w:name w:val="Emphasis"/>
    <w:basedOn w:val="DefaultParagraphFont"/>
    <w:uiPriority w:val="20"/>
    <w:qFormat/>
    <w:rsid w:val="00CA3F30"/>
    <w:rPr>
      <w:i/>
      <w:iCs/>
    </w:rPr>
  </w:style>
  <w:style w:type="paragraph" w:customStyle="1" w:styleId="Pa6">
    <w:name w:val="Pa6"/>
    <w:basedOn w:val="Default"/>
    <w:next w:val="Default"/>
    <w:uiPriority w:val="99"/>
    <w:rsid w:val="00D9512B"/>
    <w:pPr>
      <w:spacing w:line="181" w:lineRule="atLeast"/>
    </w:pPr>
    <w:rPr>
      <w:rFonts w:ascii="Frutiger 45 Light" w:hAnsi="Frutiger 45 Light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81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E7A"/>
  </w:style>
  <w:style w:type="paragraph" w:styleId="Footer">
    <w:name w:val="footer"/>
    <w:basedOn w:val="Normal"/>
    <w:link w:val="FooterChar"/>
    <w:uiPriority w:val="99"/>
    <w:unhideWhenUsed/>
    <w:rsid w:val="00581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E7A"/>
  </w:style>
  <w:style w:type="paragraph" w:styleId="NoSpacing">
    <w:name w:val="No Spacing"/>
    <w:uiPriority w:val="1"/>
    <w:qFormat/>
    <w:rsid w:val="00053E83"/>
    <w:pPr>
      <w:spacing w:after="0" w:line="240" w:lineRule="auto"/>
    </w:pPr>
  </w:style>
  <w:style w:type="table" w:styleId="TableGrid">
    <w:name w:val="Table Grid"/>
    <w:basedOn w:val="TableNormal"/>
    <w:uiPriority w:val="39"/>
    <w:rsid w:val="00F9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67">
                      <w:marLeft w:val="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0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8944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6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36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76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82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41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9012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73413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64929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67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129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1665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7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0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9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mperial.ac.uk/media/imperial-college/administration-and-support-services/legal-services-office/public/data-protection/Privacy-Notice-for-Staff-and-Prospective-Staff-(003)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utreach@imperial.ac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perial.ac.uk/human-resources/compliance-and-immigration/safeguarding/policy-and-code-of-practice-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mperial.ac.uk/staff/new-staff/guidance-for-managers/safety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mperial.ac.uk/be-inspired/schools-outreach/about-outreach-team/outreach-data-privacy-not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F7436544C014185FDCFCDE1A7123D" ma:contentTypeVersion="8" ma:contentTypeDescription="Create a new document." ma:contentTypeScope="" ma:versionID="16a703f34cd67c3428861bf9620f8a7b">
  <xsd:schema xmlns:xsd="http://www.w3.org/2001/XMLSchema" xmlns:xs="http://www.w3.org/2001/XMLSchema" xmlns:p="http://schemas.microsoft.com/office/2006/metadata/properties" xmlns:ns3="79b430d0-7e07-4df5-bd08-2a5a5774b1b9" targetNamespace="http://schemas.microsoft.com/office/2006/metadata/properties" ma:root="true" ma:fieldsID="22dc01c557bed9078bf23d6f97cd08b7" ns3:_="">
    <xsd:import namespace="79b430d0-7e07-4df5-bd08-2a5a5774b1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430d0-7e07-4df5-bd08-2a5a5774b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CB13D-6692-4321-B717-E79757F56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F7CFF-31A1-4875-90E8-830D58235C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F939E3-1FB1-4C2F-9409-18203A3C6F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5B208C-7F91-4DE7-9B17-89BBEC27A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430d0-7e07-4df5-bd08-2a5a5774b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Amy R</dc:creator>
  <cp:keywords/>
  <dc:description/>
  <cp:lastModifiedBy>Cooling, Caroline</cp:lastModifiedBy>
  <cp:revision>4</cp:revision>
  <dcterms:created xsi:type="dcterms:W3CDTF">2024-05-16T09:19:00Z</dcterms:created>
  <dcterms:modified xsi:type="dcterms:W3CDTF">2024-05-16T10:59:00Z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0x010100567F7436544C014185FDCFCDE1A7123D</vt:lpwstr>
  </property>
</Properties>
</file>