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8431" w14:textId="77777777" w:rsidR="007B3EE5" w:rsidRPr="00FD136A" w:rsidRDefault="007B3EE5" w:rsidP="007B3EE5">
      <w:pPr>
        <w:rPr>
          <w:rFonts w:ascii="Arial" w:hAnsi="Arial" w:cs="Arial"/>
          <w:b/>
          <w:bCs/>
          <w:sz w:val="28"/>
          <w:szCs w:val="28"/>
        </w:rPr>
      </w:pPr>
      <w:r>
        <w:rPr>
          <w:rFonts w:ascii="Arial" w:hAnsi="Arial" w:cs="Arial"/>
          <w:b/>
          <w:bCs/>
          <w:sz w:val="28"/>
          <w:szCs w:val="28"/>
        </w:rPr>
        <w:t xml:space="preserve">Imperial - </w:t>
      </w:r>
      <w:r w:rsidRPr="00FD136A">
        <w:rPr>
          <w:rFonts w:ascii="Arial" w:hAnsi="Arial" w:cs="Arial"/>
          <w:b/>
          <w:bCs/>
          <w:sz w:val="28"/>
          <w:szCs w:val="28"/>
        </w:rPr>
        <w:t xml:space="preserve">BBSRC International Partnership Fund </w:t>
      </w:r>
    </w:p>
    <w:p w14:paraId="4231494E" w14:textId="77777777" w:rsidR="007B3EE5" w:rsidRPr="00FD136A" w:rsidRDefault="007B3EE5" w:rsidP="007B3EE5">
      <w:pPr>
        <w:rPr>
          <w:rFonts w:ascii="Arial" w:hAnsi="Arial" w:cs="Arial"/>
          <w:sz w:val="21"/>
          <w:szCs w:val="21"/>
        </w:rPr>
      </w:pPr>
      <w:r w:rsidRPr="00FD136A">
        <w:rPr>
          <w:rFonts w:ascii="Arial" w:hAnsi="Arial" w:cs="Arial"/>
          <w:sz w:val="21"/>
          <w:szCs w:val="21"/>
        </w:rPr>
        <w:t xml:space="preserve">New seed funding opportunity </w:t>
      </w:r>
      <w:r>
        <w:rPr>
          <w:rFonts w:ascii="Arial" w:hAnsi="Arial" w:cs="Arial"/>
          <w:sz w:val="21"/>
          <w:szCs w:val="21"/>
        </w:rPr>
        <w:t>(with restrictive spend deadline of June 2024)</w:t>
      </w:r>
    </w:p>
    <w:p w14:paraId="77D618B0" w14:textId="77777777" w:rsidR="007B3EE5" w:rsidRDefault="007B3EE5" w:rsidP="007B3EE5">
      <w:pPr>
        <w:rPr>
          <w:rFonts w:ascii="Arial" w:hAnsi="Arial" w:cs="Arial"/>
          <w:b/>
          <w:bCs/>
          <w:sz w:val="21"/>
          <w:szCs w:val="21"/>
        </w:rPr>
      </w:pPr>
    </w:p>
    <w:p w14:paraId="6B7E1298" w14:textId="77777777" w:rsidR="007B3EE5" w:rsidRPr="00FD136A" w:rsidRDefault="007B3EE5" w:rsidP="007B3EE5">
      <w:pPr>
        <w:rPr>
          <w:rFonts w:ascii="Arial" w:hAnsi="Arial" w:cs="Arial"/>
          <w:b/>
          <w:bCs/>
          <w:sz w:val="21"/>
          <w:szCs w:val="21"/>
        </w:rPr>
      </w:pPr>
      <w:r w:rsidRPr="00FD136A">
        <w:rPr>
          <w:rFonts w:ascii="Arial" w:hAnsi="Arial" w:cs="Arial"/>
          <w:b/>
          <w:bCs/>
          <w:sz w:val="21"/>
          <w:szCs w:val="21"/>
        </w:rPr>
        <w:t>Summary</w:t>
      </w:r>
    </w:p>
    <w:p w14:paraId="5E9C3865" w14:textId="77777777" w:rsidR="007B3EE5" w:rsidRPr="00FD136A" w:rsidRDefault="007B3EE5" w:rsidP="007B3EE5">
      <w:pPr>
        <w:rPr>
          <w:rFonts w:ascii="Arial" w:hAnsi="Arial" w:cs="Arial"/>
          <w:b/>
          <w:bCs/>
          <w:sz w:val="21"/>
          <w:szCs w:val="21"/>
        </w:rPr>
      </w:pPr>
    </w:p>
    <w:p w14:paraId="2A2C592D" w14:textId="77777777" w:rsidR="007B3EE5" w:rsidRPr="00FD136A" w:rsidRDefault="007B3EE5" w:rsidP="007B3EE5">
      <w:pPr>
        <w:pStyle w:val="ListParagraph"/>
        <w:numPr>
          <w:ilvl w:val="0"/>
          <w:numId w:val="4"/>
        </w:numPr>
        <w:rPr>
          <w:rFonts w:ascii="Arial" w:hAnsi="Arial" w:cs="Arial"/>
          <w:sz w:val="21"/>
          <w:szCs w:val="21"/>
        </w:rPr>
      </w:pPr>
      <w:r w:rsidRPr="00FD136A">
        <w:rPr>
          <w:rFonts w:ascii="Arial" w:hAnsi="Arial" w:cs="Arial"/>
          <w:sz w:val="21"/>
          <w:szCs w:val="21"/>
        </w:rPr>
        <w:t>BBSRC has allocated</w:t>
      </w:r>
      <w:r>
        <w:rPr>
          <w:rFonts w:ascii="Arial" w:hAnsi="Arial" w:cs="Arial"/>
          <w:sz w:val="21"/>
          <w:szCs w:val="21"/>
        </w:rPr>
        <w:t xml:space="preserve"> the College</w:t>
      </w:r>
      <w:r w:rsidRPr="00FD136A">
        <w:rPr>
          <w:rFonts w:ascii="Arial" w:hAnsi="Arial" w:cs="Arial"/>
          <w:sz w:val="21"/>
          <w:szCs w:val="21"/>
        </w:rPr>
        <w:t xml:space="preserve"> strategic seed funding for international partnerships in biosciences and biotechnology. Aims include fostering new research directions, building interdisciplinary teams, and supporting</w:t>
      </w:r>
      <w:r>
        <w:rPr>
          <w:rFonts w:ascii="Arial" w:hAnsi="Arial" w:cs="Arial"/>
          <w:sz w:val="21"/>
          <w:szCs w:val="21"/>
        </w:rPr>
        <w:t xml:space="preserve"> pathways to</w:t>
      </w:r>
      <w:r w:rsidRPr="00FD136A">
        <w:rPr>
          <w:rFonts w:ascii="Arial" w:hAnsi="Arial" w:cs="Arial"/>
          <w:sz w:val="21"/>
          <w:szCs w:val="21"/>
        </w:rPr>
        <w:t xml:space="preserve"> external funding bids.</w:t>
      </w:r>
    </w:p>
    <w:p w14:paraId="0265EF10" w14:textId="77777777" w:rsidR="007B3EE5" w:rsidRPr="00FD136A" w:rsidRDefault="007B3EE5" w:rsidP="007B3EE5">
      <w:pPr>
        <w:pStyle w:val="ListParagraph"/>
        <w:numPr>
          <w:ilvl w:val="0"/>
          <w:numId w:val="4"/>
        </w:numPr>
        <w:rPr>
          <w:rFonts w:ascii="Arial" w:hAnsi="Arial" w:cs="Arial"/>
          <w:sz w:val="21"/>
          <w:szCs w:val="21"/>
        </w:rPr>
      </w:pPr>
      <w:r w:rsidRPr="00FD136A">
        <w:rPr>
          <w:rFonts w:ascii="Arial" w:hAnsi="Arial" w:cs="Arial"/>
          <w:sz w:val="21"/>
          <w:szCs w:val="21"/>
        </w:rPr>
        <w:t xml:space="preserve">Projects should be completed in 4 months, with budgets typically ranging from £40K-£50K. Funding must be spent </w:t>
      </w:r>
      <w:r>
        <w:rPr>
          <w:rFonts w:ascii="Arial" w:hAnsi="Arial" w:cs="Arial"/>
          <w:sz w:val="21"/>
          <w:szCs w:val="21"/>
        </w:rPr>
        <w:t xml:space="preserve">by </w:t>
      </w:r>
      <w:r w:rsidRPr="00FD136A">
        <w:rPr>
          <w:rFonts w:ascii="Arial" w:hAnsi="Arial" w:cs="Arial"/>
          <w:sz w:val="21"/>
          <w:szCs w:val="21"/>
        </w:rPr>
        <w:t>June 30, 2024, with no</w:t>
      </w:r>
      <w:r>
        <w:rPr>
          <w:rFonts w:ascii="Arial" w:hAnsi="Arial" w:cs="Arial"/>
          <w:sz w:val="21"/>
          <w:szCs w:val="21"/>
        </w:rPr>
        <w:t xml:space="preserve"> possibility of</w:t>
      </w:r>
      <w:r w:rsidRPr="00FD136A">
        <w:rPr>
          <w:rFonts w:ascii="Arial" w:hAnsi="Arial" w:cs="Arial"/>
          <w:sz w:val="21"/>
          <w:szCs w:val="21"/>
        </w:rPr>
        <w:t xml:space="preserve"> extension.</w:t>
      </w:r>
    </w:p>
    <w:p w14:paraId="1B90F8E1" w14:textId="77777777" w:rsidR="007B3EE5" w:rsidRPr="009364E7" w:rsidRDefault="007B3EE5" w:rsidP="007B3EE5">
      <w:pPr>
        <w:pStyle w:val="ListParagraph"/>
        <w:rPr>
          <w:rFonts w:ascii="Arial" w:hAnsi="Arial" w:cs="Arial"/>
          <w:b/>
          <w:bCs/>
          <w:sz w:val="21"/>
          <w:szCs w:val="21"/>
        </w:rPr>
      </w:pPr>
    </w:p>
    <w:p w14:paraId="23A88ED5" w14:textId="77777777" w:rsidR="007B3EE5" w:rsidRPr="00FD136A" w:rsidRDefault="007B3EE5" w:rsidP="007B3EE5">
      <w:pPr>
        <w:rPr>
          <w:rFonts w:ascii="Arial" w:hAnsi="Arial" w:cs="Arial"/>
          <w:b/>
          <w:bCs/>
          <w:sz w:val="21"/>
          <w:szCs w:val="21"/>
        </w:rPr>
      </w:pPr>
      <w:r w:rsidRPr="00FD136A">
        <w:rPr>
          <w:rFonts w:ascii="Arial" w:hAnsi="Arial" w:cs="Arial"/>
          <w:b/>
          <w:bCs/>
          <w:sz w:val="21"/>
          <w:szCs w:val="21"/>
        </w:rPr>
        <w:t>Background</w:t>
      </w:r>
    </w:p>
    <w:p w14:paraId="147C499D" w14:textId="77777777" w:rsidR="007B3EE5" w:rsidRPr="00FD136A" w:rsidRDefault="007B3EE5" w:rsidP="007B3EE5">
      <w:pPr>
        <w:rPr>
          <w:rFonts w:ascii="Arial" w:hAnsi="Arial" w:cs="Arial"/>
          <w:b/>
          <w:bCs/>
          <w:sz w:val="21"/>
          <w:szCs w:val="21"/>
        </w:rPr>
      </w:pPr>
    </w:p>
    <w:p w14:paraId="7F20C367" w14:textId="77777777" w:rsidR="007B3EE5" w:rsidRPr="00FD136A" w:rsidRDefault="007B3EE5" w:rsidP="007B3EE5">
      <w:pPr>
        <w:rPr>
          <w:rFonts w:ascii="Arial" w:eastAsia="Arial" w:hAnsi="Arial" w:cs="Arial"/>
          <w:sz w:val="21"/>
          <w:szCs w:val="21"/>
        </w:rPr>
      </w:pPr>
      <w:r w:rsidRPr="00FD136A">
        <w:rPr>
          <w:rFonts w:ascii="Arial" w:eastAsia="Arial" w:hAnsi="Arial" w:cs="Arial"/>
          <w:sz w:val="21"/>
          <w:szCs w:val="21"/>
        </w:rPr>
        <w:t xml:space="preserve">BBSRC have awarded the College a one-off allocation of strategic seed funding to strengthen and initiate international partnerships across the </w:t>
      </w:r>
      <w:hyperlink r:id="rId7" w:history="1">
        <w:r w:rsidRPr="00FD136A">
          <w:rPr>
            <w:rStyle w:val="Hyperlink"/>
            <w:rFonts w:ascii="Arial" w:eastAsia="Arial" w:hAnsi="Arial" w:cs="Arial"/>
            <w:sz w:val="21"/>
            <w:szCs w:val="21"/>
          </w:rPr>
          <w:t>BBSRC remit.</w:t>
        </w:r>
      </w:hyperlink>
    </w:p>
    <w:p w14:paraId="26F54F8A" w14:textId="77777777" w:rsidR="007B3EE5" w:rsidRPr="00FD136A" w:rsidRDefault="007B3EE5" w:rsidP="007B3EE5">
      <w:pPr>
        <w:rPr>
          <w:rFonts w:ascii="Arial" w:eastAsia="Arial" w:hAnsi="Arial" w:cs="Arial"/>
          <w:sz w:val="21"/>
          <w:szCs w:val="21"/>
        </w:rPr>
      </w:pPr>
    </w:p>
    <w:p w14:paraId="2BF92432" w14:textId="77777777" w:rsidR="007B3EE5" w:rsidRPr="00FD136A" w:rsidRDefault="007B3EE5" w:rsidP="007B3EE5">
      <w:pPr>
        <w:rPr>
          <w:rFonts w:ascii="Arial" w:eastAsia="Arial" w:hAnsi="Arial" w:cs="Arial"/>
          <w:sz w:val="21"/>
          <w:szCs w:val="21"/>
        </w:rPr>
      </w:pPr>
      <w:r w:rsidRPr="00FD136A">
        <w:rPr>
          <w:rFonts w:ascii="Arial" w:eastAsia="Arial" w:hAnsi="Arial" w:cs="Arial"/>
          <w:sz w:val="21"/>
          <w:szCs w:val="21"/>
        </w:rPr>
        <w:t>These allocations aim to provide targeted support for the biosciences and biotechnology to support engagement across the globe, including with partners in Europe as our research community re-engages fully with Horizon Europe.</w:t>
      </w:r>
    </w:p>
    <w:p w14:paraId="0FEE5B72" w14:textId="77777777" w:rsidR="007B3EE5" w:rsidRPr="00FD136A" w:rsidRDefault="007B3EE5" w:rsidP="007B3EE5">
      <w:pPr>
        <w:rPr>
          <w:rFonts w:ascii="Arial" w:eastAsia="Arial" w:hAnsi="Arial" w:cs="Arial"/>
          <w:sz w:val="21"/>
          <w:szCs w:val="21"/>
        </w:rPr>
      </w:pPr>
    </w:p>
    <w:p w14:paraId="4636F09E" w14:textId="77777777" w:rsidR="007B3EE5" w:rsidRPr="00FD136A" w:rsidRDefault="007B3EE5" w:rsidP="007B3EE5">
      <w:pPr>
        <w:rPr>
          <w:rFonts w:ascii="Arial" w:hAnsi="Arial" w:cs="Arial"/>
          <w:sz w:val="21"/>
          <w:szCs w:val="21"/>
        </w:rPr>
      </w:pPr>
      <w:r w:rsidRPr="00FD136A">
        <w:rPr>
          <w:rFonts w:ascii="Arial" w:hAnsi="Arial" w:cs="Arial"/>
          <w:sz w:val="21"/>
          <w:szCs w:val="21"/>
        </w:rPr>
        <w:t xml:space="preserve">Funds can be used to initiate and/or strengthen existing international partnership activities, bilaterally or multilaterally within the UKRI-BBSRC remit. In doing this </w:t>
      </w:r>
      <w:r>
        <w:rPr>
          <w:rFonts w:ascii="Arial" w:hAnsi="Arial" w:cs="Arial"/>
          <w:sz w:val="21"/>
          <w:szCs w:val="21"/>
        </w:rPr>
        <w:t>BBSRC</w:t>
      </w:r>
      <w:r w:rsidRPr="00FD136A">
        <w:rPr>
          <w:rFonts w:ascii="Arial" w:hAnsi="Arial" w:cs="Arial"/>
          <w:sz w:val="21"/>
          <w:szCs w:val="21"/>
        </w:rPr>
        <w:t xml:space="preserve"> request that you are: (a) mindful of the UK Government’s Integrated Review, including the countries identified</w:t>
      </w:r>
      <w:r>
        <w:rPr>
          <w:rFonts w:ascii="Arial" w:hAnsi="Arial" w:cs="Arial"/>
          <w:sz w:val="21"/>
          <w:szCs w:val="21"/>
        </w:rPr>
        <w:t xml:space="preserve"> in the International Science Partnership Fund (ISPF)</w:t>
      </w:r>
      <w:r>
        <w:rPr>
          <w:rStyle w:val="FootnoteReference"/>
          <w:rFonts w:ascii="Arial" w:hAnsi="Arial" w:cs="Arial"/>
          <w:sz w:val="21"/>
          <w:szCs w:val="21"/>
        </w:rPr>
        <w:footnoteReference w:id="1"/>
      </w:r>
      <w:r w:rsidRPr="00FD136A">
        <w:rPr>
          <w:rFonts w:ascii="Arial" w:hAnsi="Arial" w:cs="Arial"/>
          <w:sz w:val="21"/>
          <w:szCs w:val="21"/>
        </w:rPr>
        <w:t>; and (b) leading research nations and international organisations that offer the opportunity to advance the UK’s world class bioscience research through international collaboration.</w:t>
      </w:r>
    </w:p>
    <w:p w14:paraId="44B9ACD3" w14:textId="77777777" w:rsidR="007B3EE5" w:rsidRPr="00FD136A" w:rsidRDefault="007B3EE5" w:rsidP="007B3EE5">
      <w:pPr>
        <w:rPr>
          <w:rFonts w:ascii="Arial" w:hAnsi="Arial" w:cs="Arial"/>
          <w:sz w:val="21"/>
          <w:szCs w:val="21"/>
        </w:rPr>
      </w:pPr>
    </w:p>
    <w:p w14:paraId="2227E2CF" w14:textId="77777777" w:rsidR="007B3EE5" w:rsidRPr="00FD136A" w:rsidRDefault="007B3EE5" w:rsidP="007B3EE5">
      <w:pPr>
        <w:rPr>
          <w:rFonts w:ascii="Arial" w:hAnsi="Arial" w:cs="Arial"/>
          <w:b/>
          <w:bCs/>
          <w:sz w:val="21"/>
          <w:szCs w:val="21"/>
        </w:rPr>
      </w:pPr>
      <w:r w:rsidRPr="00FD136A">
        <w:rPr>
          <w:rFonts w:ascii="Arial" w:hAnsi="Arial" w:cs="Arial"/>
          <w:b/>
          <w:bCs/>
          <w:sz w:val="21"/>
          <w:szCs w:val="21"/>
        </w:rPr>
        <w:t xml:space="preserve">Aims of the fund </w:t>
      </w:r>
    </w:p>
    <w:p w14:paraId="6F34F5F7" w14:textId="77777777" w:rsidR="007B3EE5" w:rsidRPr="00FD136A" w:rsidRDefault="007B3EE5" w:rsidP="007B3EE5">
      <w:pPr>
        <w:rPr>
          <w:rFonts w:ascii="Arial" w:hAnsi="Arial" w:cs="Arial"/>
          <w:sz w:val="21"/>
          <w:szCs w:val="21"/>
        </w:rPr>
      </w:pPr>
    </w:p>
    <w:p w14:paraId="5DCCEB9B" w14:textId="77777777" w:rsidR="007B3EE5" w:rsidRPr="00FD136A" w:rsidRDefault="007B3EE5" w:rsidP="007B3EE5">
      <w:pPr>
        <w:pStyle w:val="ListParagraph"/>
        <w:numPr>
          <w:ilvl w:val="0"/>
          <w:numId w:val="2"/>
        </w:numPr>
        <w:rPr>
          <w:rFonts w:ascii="Arial" w:hAnsi="Arial" w:cs="Arial"/>
          <w:sz w:val="21"/>
          <w:szCs w:val="21"/>
        </w:rPr>
      </w:pPr>
      <w:r w:rsidRPr="00FD136A">
        <w:rPr>
          <w:rFonts w:ascii="Arial" w:hAnsi="Arial" w:cs="Arial"/>
          <w:sz w:val="21"/>
          <w:szCs w:val="21"/>
        </w:rPr>
        <w:t>Foster innovation and impactful research/partnerships</w:t>
      </w:r>
    </w:p>
    <w:p w14:paraId="19778249" w14:textId="77777777" w:rsidR="007B3EE5" w:rsidRPr="00FD136A" w:rsidRDefault="007B3EE5" w:rsidP="007B3EE5">
      <w:pPr>
        <w:pStyle w:val="ListParagraph"/>
        <w:numPr>
          <w:ilvl w:val="0"/>
          <w:numId w:val="2"/>
        </w:numPr>
        <w:rPr>
          <w:rFonts w:ascii="Arial" w:hAnsi="Arial" w:cs="Arial"/>
          <w:sz w:val="21"/>
          <w:szCs w:val="21"/>
        </w:rPr>
      </w:pPr>
      <w:r w:rsidRPr="00FD136A">
        <w:rPr>
          <w:rFonts w:ascii="Arial" w:hAnsi="Arial" w:cs="Arial"/>
          <w:sz w:val="21"/>
          <w:szCs w:val="21"/>
        </w:rPr>
        <w:t xml:space="preserve">Build strong and interdisciplinary project </w:t>
      </w:r>
      <w:proofErr w:type="gramStart"/>
      <w:r w:rsidRPr="00FD136A">
        <w:rPr>
          <w:rFonts w:ascii="Arial" w:hAnsi="Arial" w:cs="Arial"/>
          <w:sz w:val="21"/>
          <w:szCs w:val="21"/>
        </w:rPr>
        <w:t>teams</w:t>
      </w:r>
      <w:proofErr w:type="gramEnd"/>
    </w:p>
    <w:p w14:paraId="18CDF05B" w14:textId="77777777" w:rsidR="007B3EE5" w:rsidRPr="00FD136A" w:rsidRDefault="007B3EE5" w:rsidP="007B3EE5">
      <w:pPr>
        <w:pStyle w:val="ListParagraph"/>
        <w:numPr>
          <w:ilvl w:val="0"/>
          <w:numId w:val="2"/>
        </w:numPr>
        <w:rPr>
          <w:rFonts w:ascii="Arial" w:hAnsi="Arial" w:cs="Arial"/>
          <w:sz w:val="21"/>
          <w:szCs w:val="21"/>
        </w:rPr>
      </w:pPr>
      <w:r w:rsidRPr="00FD136A">
        <w:rPr>
          <w:rFonts w:ascii="Arial" w:hAnsi="Arial" w:cs="Arial"/>
          <w:sz w:val="21"/>
          <w:szCs w:val="21"/>
        </w:rPr>
        <w:t xml:space="preserve">Support external funding bids to the BBSRC and other international </w:t>
      </w:r>
      <w:proofErr w:type="gramStart"/>
      <w:r w:rsidRPr="00FD136A">
        <w:rPr>
          <w:rFonts w:ascii="Arial" w:hAnsi="Arial" w:cs="Arial"/>
          <w:sz w:val="21"/>
          <w:szCs w:val="21"/>
        </w:rPr>
        <w:t>funders</w:t>
      </w:r>
      <w:proofErr w:type="gramEnd"/>
    </w:p>
    <w:p w14:paraId="2F8A91A0" w14:textId="77777777" w:rsidR="007B3EE5" w:rsidRPr="00FD136A" w:rsidRDefault="007B3EE5" w:rsidP="007B3EE5">
      <w:pPr>
        <w:rPr>
          <w:rFonts w:ascii="Arial" w:hAnsi="Arial" w:cs="Arial"/>
          <w:sz w:val="21"/>
          <w:szCs w:val="21"/>
        </w:rPr>
      </w:pPr>
    </w:p>
    <w:p w14:paraId="7201744C" w14:textId="77777777" w:rsidR="007B3EE5" w:rsidRPr="00FD136A" w:rsidRDefault="007B3EE5" w:rsidP="007B3EE5">
      <w:pPr>
        <w:rPr>
          <w:rFonts w:ascii="Arial" w:hAnsi="Arial" w:cs="Arial"/>
          <w:b/>
          <w:bCs/>
          <w:sz w:val="21"/>
          <w:szCs w:val="21"/>
        </w:rPr>
      </w:pPr>
      <w:r w:rsidRPr="00FD136A">
        <w:rPr>
          <w:rFonts w:ascii="Arial" w:hAnsi="Arial" w:cs="Arial"/>
          <w:b/>
          <w:bCs/>
          <w:sz w:val="21"/>
          <w:szCs w:val="21"/>
        </w:rPr>
        <w:t>Scope and use of funds</w:t>
      </w:r>
    </w:p>
    <w:p w14:paraId="3CD78B42" w14:textId="77777777" w:rsidR="007B3EE5" w:rsidRPr="00FD136A" w:rsidRDefault="007B3EE5" w:rsidP="007B3EE5">
      <w:pPr>
        <w:spacing w:after="160"/>
        <w:rPr>
          <w:rFonts w:ascii="Arial" w:hAnsi="Arial" w:cs="Arial"/>
          <w:sz w:val="21"/>
          <w:szCs w:val="21"/>
        </w:rPr>
      </w:pPr>
      <w:r w:rsidRPr="00FD136A">
        <w:rPr>
          <w:rFonts w:ascii="Arial" w:hAnsi="Arial" w:cs="Arial"/>
          <w:sz w:val="21"/>
          <w:szCs w:val="21"/>
        </w:rPr>
        <w:t xml:space="preserve">You will have flexibility to utilise the money within this theme for research, </w:t>
      </w:r>
      <w:proofErr w:type="gramStart"/>
      <w:r w:rsidRPr="00FD136A">
        <w:rPr>
          <w:rFonts w:ascii="Arial" w:hAnsi="Arial" w:cs="Arial"/>
          <w:sz w:val="21"/>
          <w:szCs w:val="21"/>
        </w:rPr>
        <w:t>staff</w:t>
      </w:r>
      <w:proofErr w:type="gramEnd"/>
      <w:r w:rsidRPr="00FD136A">
        <w:rPr>
          <w:rFonts w:ascii="Arial" w:hAnsi="Arial" w:cs="Arial"/>
          <w:sz w:val="21"/>
          <w:szCs w:val="21"/>
        </w:rPr>
        <w:t xml:space="preserve"> and associated activities (including travel) within UKRI-BBSRC normal grant conditions, adhering to EDI and </w:t>
      </w:r>
      <w:r>
        <w:rPr>
          <w:rFonts w:ascii="Arial" w:hAnsi="Arial" w:cs="Arial"/>
          <w:sz w:val="21"/>
          <w:szCs w:val="21"/>
        </w:rPr>
        <w:t xml:space="preserve">Trusted Research and Innovation </w:t>
      </w:r>
      <w:r w:rsidRPr="00FD136A">
        <w:rPr>
          <w:rFonts w:ascii="Arial" w:hAnsi="Arial" w:cs="Arial"/>
          <w:sz w:val="21"/>
          <w:szCs w:val="21"/>
        </w:rPr>
        <w:t xml:space="preserve">principles. </w:t>
      </w:r>
    </w:p>
    <w:p w14:paraId="3406425D" w14:textId="77777777" w:rsidR="007B3EE5" w:rsidRPr="009364E7"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1"/>
          <w:szCs w:val="21"/>
        </w:rPr>
      </w:pPr>
      <w:r w:rsidRPr="009364E7">
        <w:rPr>
          <w:rFonts w:ascii="Arial" w:hAnsi="Arial" w:cs="Arial"/>
          <w:kern w:val="0"/>
          <w:sz w:val="21"/>
          <w:szCs w:val="21"/>
        </w:rPr>
        <w:t>Depending on the type of award, the funding can be used for:</w:t>
      </w:r>
    </w:p>
    <w:p w14:paraId="6F2CA606" w14:textId="77777777" w:rsidR="007B3EE5" w:rsidRPr="00FD136A"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4D"/>
          <w:kern w:val="0"/>
          <w:sz w:val="21"/>
          <w:szCs w:val="21"/>
        </w:rPr>
      </w:pPr>
    </w:p>
    <w:p w14:paraId="1EEA35E2" w14:textId="77777777" w:rsidR="007B3EE5" w:rsidRPr="009364E7" w:rsidRDefault="007B3EE5" w:rsidP="007B3EE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1"/>
          <w:szCs w:val="21"/>
        </w:rPr>
      </w:pPr>
      <w:r w:rsidRPr="009364E7">
        <w:rPr>
          <w:rFonts w:ascii="Arial" w:hAnsi="Arial" w:cs="Arial"/>
          <w:kern w:val="0"/>
          <w:sz w:val="21"/>
          <w:szCs w:val="21"/>
        </w:rPr>
        <w:t>travel</w:t>
      </w:r>
    </w:p>
    <w:p w14:paraId="1A21E2C4" w14:textId="77777777" w:rsidR="007B3EE5" w:rsidRPr="009364E7" w:rsidRDefault="007B3EE5" w:rsidP="007B3EE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1"/>
          <w:szCs w:val="21"/>
        </w:rPr>
      </w:pPr>
      <w:r w:rsidRPr="009364E7">
        <w:rPr>
          <w:rFonts w:ascii="Arial" w:hAnsi="Arial" w:cs="Arial"/>
          <w:kern w:val="0"/>
          <w:sz w:val="21"/>
          <w:szCs w:val="21"/>
        </w:rPr>
        <w:t>overseas visits</w:t>
      </w:r>
    </w:p>
    <w:p w14:paraId="21052D81" w14:textId="77777777" w:rsidR="007B3EE5" w:rsidRPr="009364E7" w:rsidRDefault="007B3EE5" w:rsidP="007B3EE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1"/>
          <w:szCs w:val="21"/>
        </w:rPr>
      </w:pPr>
      <w:r w:rsidRPr="009364E7">
        <w:rPr>
          <w:rFonts w:ascii="Arial" w:hAnsi="Arial" w:cs="Arial"/>
          <w:kern w:val="0"/>
          <w:sz w:val="21"/>
          <w:szCs w:val="21"/>
        </w:rPr>
        <w:t>access to facilities not available in the UK</w:t>
      </w:r>
    </w:p>
    <w:p w14:paraId="5EAF7F75" w14:textId="77777777" w:rsidR="007B3EE5" w:rsidRPr="009364E7" w:rsidRDefault="007B3EE5" w:rsidP="007B3EE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1"/>
          <w:szCs w:val="21"/>
        </w:rPr>
      </w:pPr>
      <w:r w:rsidRPr="009364E7">
        <w:rPr>
          <w:rFonts w:ascii="Arial" w:hAnsi="Arial" w:cs="Arial"/>
          <w:kern w:val="0"/>
          <w:sz w:val="21"/>
          <w:szCs w:val="21"/>
        </w:rPr>
        <w:t>workshops</w:t>
      </w:r>
    </w:p>
    <w:p w14:paraId="0DB9A44B" w14:textId="555BE500" w:rsidR="007B3EE5" w:rsidRPr="009364E7" w:rsidRDefault="007B3EE5" w:rsidP="007B3EE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1"/>
          <w:szCs w:val="21"/>
        </w:rPr>
      </w:pPr>
      <w:r w:rsidRPr="009364E7">
        <w:rPr>
          <w:rFonts w:ascii="Arial" w:hAnsi="Arial" w:cs="Arial"/>
          <w:kern w:val="0"/>
          <w:sz w:val="21"/>
          <w:szCs w:val="21"/>
        </w:rPr>
        <w:t>exchange of personnel e.g</w:t>
      </w:r>
      <w:r>
        <w:rPr>
          <w:rFonts w:ascii="Arial" w:hAnsi="Arial" w:cs="Arial"/>
          <w:kern w:val="0"/>
          <w:sz w:val="21"/>
          <w:szCs w:val="21"/>
        </w:rPr>
        <w:t>.,</w:t>
      </w:r>
      <w:r w:rsidRPr="009364E7">
        <w:rPr>
          <w:rFonts w:ascii="Arial" w:hAnsi="Arial" w:cs="Arial"/>
          <w:kern w:val="0"/>
          <w:sz w:val="21"/>
          <w:szCs w:val="21"/>
        </w:rPr>
        <w:t xml:space="preserve"> post-docs, PhD students</w:t>
      </w:r>
    </w:p>
    <w:p w14:paraId="25E07D3B" w14:textId="77777777" w:rsidR="007B3EE5" w:rsidRPr="009364E7" w:rsidRDefault="007B3EE5" w:rsidP="007B3EE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1"/>
          <w:szCs w:val="21"/>
        </w:rPr>
      </w:pPr>
      <w:r w:rsidRPr="009364E7">
        <w:rPr>
          <w:rFonts w:ascii="Arial" w:hAnsi="Arial" w:cs="Arial"/>
          <w:kern w:val="0"/>
          <w:sz w:val="21"/>
          <w:szCs w:val="21"/>
        </w:rPr>
        <w:t>other activities and costs.</w:t>
      </w:r>
    </w:p>
    <w:p w14:paraId="30310BD0" w14:textId="77777777" w:rsidR="007B3EE5" w:rsidRPr="00FD136A" w:rsidRDefault="007B3EE5" w:rsidP="007B3EE5">
      <w:pPr>
        <w:rPr>
          <w:rFonts w:ascii="Arial" w:hAnsi="Arial" w:cs="Arial"/>
          <w:b/>
          <w:bCs/>
          <w:sz w:val="21"/>
          <w:szCs w:val="21"/>
        </w:rPr>
      </w:pPr>
    </w:p>
    <w:p w14:paraId="649EFA0F" w14:textId="77777777" w:rsidR="007B3EE5" w:rsidRDefault="007B3EE5" w:rsidP="007B3EE5">
      <w:pPr>
        <w:rPr>
          <w:rFonts w:ascii="Arial" w:hAnsi="Arial" w:cs="Arial"/>
          <w:b/>
          <w:bCs/>
          <w:sz w:val="21"/>
          <w:szCs w:val="21"/>
        </w:rPr>
      </w:pPr>
      <w:r w:rsidRPr="00FD136A">
        <w:rPr>
          <w:rFonts w:ascii="Arial" w:hAnsi="Arial" w:cs="Arial"/>
          <w:b/>
          <w:bCs/>
          <w:sz w:val="21"/>
          <w:szCs w:val="21"/>
        </w:rPr>
        <w:t>Applications will be assessed on the following criteria:</w:t>
      </w:r>
    </w:p>
    <w:p w14:paraId="41EC06F0" w14:textId="77777777" w:rsidR="007B3EE5" w:rsidRDefault="007B3EE5" w:rsidP="007B3EE5">
      <w:pPr>
        <w:rPr>
          <w:rFonts w:ascii="Arial" w:hAnsi="Arial" w:cs="Arial"/>
          <w:b/>
          <w:bCs/>
          <w:sz w:val="21"/>
          <w:szCs w:val="21"/>
        </w:rPr>
      </w:pPr>
    </w:p>
    <w:p w14:paraId="16D2F7D6" w14:textId="77777777" w:rsidR="007B3EE5" w:rsidRPr="00156768" w:rsidRDefault="007B3EE5" w:rsidP="007B3EE5">
      <w:pPr>
        <w:rPr>
          <w:rFonts w:ascii="Arial" w:hAnsi="Arial" w:cs="Arial"/>
          <w:sz w:val="21"/>
          <w:szCs w:val="21"/>
        </w:rPr>
      </w:pPr>
      <w:r w:rsidRPr="00156768">
        <w:rPr>
          <w:rFonts w:ascii="Arial" w:hAnsi="Arial" w:cs="Arial"/>
          <w:sz w:val="21"/>
          <w:szCs w:val="21"/>
        </w:rPr>
        <w:t xml:space="preserve">The </w:t>
      </w:r>
      <w:r>
        <w:rPr>
          <w:rFonts w:ascii="Arial" w:hAnsi="Arial" w:cs="Arial"/>
          <w:sz w:val="21"/>
          <w:szCs w:val="21"/>
        </w:rPr>
        <w:t xml:space="preserve">College aims to be agile in allocating the funds </w:t>
      </w:r>
      <w:proofErr w:type="gramStart"/>
      <w:r>
        <w:rPr>
          <w:rFonts w:ascii="Arial" w:hAnsi="Arial" w:cs="Arial"/>
          <w:sz w:val="21"/>
          <w:szCs w:val="21"/>
        </w:rPr>
        <w:t>in light of</w:t>
      </w:r>
      <w:proofErr w:type="gramEnd"/>
      <w:r>
        <w:rPr>
          <w:rFonts w:ascii="Arial" w:hAnsi="Arial" w:cs="Arial"/>
          <w:sz w:val="21"/>
          <w:szCs w:val="21"/>
        </w:rPr>
        <w:t xml:space="preserve"> the restrictive delivery timeline. Applicants are asked to complete a short 1-page application form that outlines:</w:t>
      </w:r>
    </w:p>
    <w:p w14:paraId="367A8DA2" w14:textId="77777777" w:rsidR="007B3EE5" w:rsidRPr="00FD136A" w:rsidRDefault="007B3EE5" w:rsidP="007B3EE5">
      <w:pPr>
        <w:rPr>
          <w:rFonts w:ascii="Arial" w:hAnsi="Arial" w:cs="Arial"/>
          <w:sz w:val="21"/>
          <w:szCs w:val="21"/>
        </w:rPr>
      </w:pPr>
    </w:p>
    <w:p w14:paraId="16983EDE" w14:textId="77777777" w:rsidR="007B3EE5" w:rsidRPr="00FD136A" w:rsidRDefault="007B3EE5" w:rsidP="007B3EE5">
      <w:pPr>
        <w:pStyle w:val="ListParagraph"/>
        <w:numPr>
          <w:ilvl w:val="0"/>
          <w:numId w:val="3"/>
        </w:numPr>
        <w:rPr>
          <w:rFonts w:ascii="Arial" w:hAnsi="Arial" w:cs="Arial"/>
          <w:sz w:val="21"/>
          <w:szCs w:val="21"/>
        </w:rPr>
      </w:pPr>
      <w:r w:rsidRPr="00FD136A">
        <w:rPr>
          <w:rFonts w:ascii="Arial" w:hAnsi="Arial" w:cs="Arial"/>
          <w:sz w:val="21"/>
          <w:szCs w:val="21"/>
        </w:rPr>
        <w:lastRenderedPageBreak/>
        <w:t>Importance, creativity, and potential impact of the research/workshop/staff exchange and/or new partnership, emphasizing the synergy between research groups at Imperial and international partners.</w:t>
      </w:r>
    </w:p>
    <w:p w14:paraId="69B09B45" w14:textId="77777777" w:rsidR="007B3EE5" w:rsidRPr="006A0ED6" w:rsidRDefault="007B3EE5" w:rsidP="007B3EE5">
      <w:pPr>
        <w:pStyle w:val="ListParagraph"/>
        <w:numPr>
          <w:ilvl w:val="0"/>
          <w:numId w:val="3"/>
        </w:numPr>
        <w:rPr>
          <w:rFonts w:ascii="Arial" w:hAnsi="Arial" w:cs="Arial"/>
          <w:b/>
          <w:bCs/>
          <w:sz w:val="21"/>
          <w:szCs w:val="21"/>
        </w:rPr>
      </w:pPr>
      <w:r w:rsidRPr="006A0ED6">
        <w:rPr>
          <w:rFonts w:ascii="Arial" w:hAnsi="Arial" w:cs="Arial"/>
          <w:sz w:val="21"/>
          <w:szCs w:val="21"/>
        </w:rPr>
        <w:t>The potential for the collaboration to lead to successful joint grant application(s)</w:t>
      </w:r>
      <w:r>
        <w:rPr>
          <w:rFonts w:ascii="Arial" w:hAnsi="Arial" w:cs="Arial"/>
          <w:sz w:val="21"/>
          <w:szCs w:val="21"/>
        </w:rPr>
        <w:t>.</w:t>
      </w:r>
    </w:p>
    <w:p w14:paraId="374190FD" w14:textId="77777777" w:rsidR="007B3EE5" w:rsidRDefault="007B3EE5" w:rsidP="007B3EE5">
      <w:pPr>
        <w:pStyle w:val="ListParagraph"/>
        <w:rPr>
          <w:rFonts w:ascii="Arial" w:hAnsi="Arial" w:cs="Arial"/>
          <w:sz w:val="21"/>
          <w:szCs w:val="21"/>
        </w:rPr>
      </w:pPr>
    </w:p>
    <w:p w14:paraId="69641B77" w14:textId="77777777" w:rsidR="007B3EE5" w:rsidRPr="006A0ED6" w:rsidRDefault="007B3EE5" w:rsidP="007B3EE5">
      <w:pPr>
        <w:pStyle w:val="ListParagraph"/>
        <w:rPr>
          <w:rFonts w:ascii="Arial" w:hAnsi="Arial" w:cs="Arial"/>
          <w:b/>
          <w:bCs/>
          <w:sz w:val="21"/>
          <w:szCs w:val="21"/>
        </w:rPr>
      </w:pPr>
    </w:p>
    <w:p w14:paraId="407E911A" w14:textId="77777777" w:rsidR="007B3EE5" w:rsidRPr="00FD136A"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4D"/>
          <w:kern w:val="0"/>
          <w:sz w:val="21"/>
          <w:szCs w:val="21"/>
        </w:rPr>
      </w:pPr>
      <w:r w:rsidRPr="00FD136A">
        <w:rPr>
          <w:rFonts w:ascii="Arial" w:hAnsi="Arial" w:cs="Arial"/>
          <w:color w:val="3F3F4D"/>
          <w:kern w:val="0"/>
          <w:sz w:val="21"/>
          <w:szCs w:val="21"/>
        </w:rPr>
        <w:t xml:space="preserve">Draft/standalone costings are acceptable for submission given the timeframe; </w:t>
      </w:r>
      <w:proofErr w:type="spellStart"/>
      <w:r w:rsidRPr="00FD136A">
        <w:rPr>
          <w:rFonts w:ascii="Arial" w:hAnsi="Arial" w:cs="Arial"/>
          <w:color w:val="3F3F4D"/>
          <w:kern w:val="0"/>
          <w:sz w:val="21"/>
          <w:szCs w:val="21"/>
        </w:rPr>
        <w:t>Worktribe</w:t>
      </w:r>
      <w:proofErr w:type="spellEnd"/>
      <w:r w:rsidRPr="00FD136A">
        <w:rPr>
          <w:rFonts w:ascii="Arial" w:hAnsi="Arial" w:cs="Arial"/>
          <w:color w:val="3F3F4D"/>
          <w:kern w:val="0"/>
          <w:sz w:val="21"/>
          <w:szCs w:val="21"/>
        </w:rPr>
        <w:t xml:space="preserve"> is not required at this stage.  Spend on equipment is permitted as part of this funding.</w:t>
      </w:r>
    </w:p>
    <w:p w14:paraId="5291695C" w14:textId="77777777" w:rsidR="007B3EE5" w:rsidRPr="00FD136A" w:rsidRDefault="007B3EE5" w:rsidP="007B3EE5">
      <w:pPr>
        <w:rPr>
          <w:rFonts w:ascii="Arial" w:hAnsi="Arial" w:cs="Arial"/>
          <w:b/>
          <w:bCs/>
          <w:sz w:val="21"/>
          <w:szCs w:val="21"/>
        </w:rPr>
      </w:pPr>
    </w:p>
    <w:p w14:paraId="2F83E33D" w14:textId="77777777" w:rsidR="007B3EE5" w:rsidRPr="00FD136A" w:rsidRDefault="007B3EE5" w:rsidP="007B3EE5">
      <w:pPr>
        <w:rPr>
          <w:rFonts w:ascii="Arial" w:hAnsi="Arial" w:cs="Arial"/>
          <w:b/>
          <w:bCs/>
          <w:sz w:val="21"/>
          <w:szCs w:val="21"/>
        </w:rPr>
      </w:pPr>
      <w:r w:rsidRPr="00FD136A">
        <w:rPr>
          <w:rFonts w:ascii="Arial" w:hAnsi="Arial" w:cs="Arial"/>
          <w:b/>
          <w:bCs/>
          <w:sz w:val="21"/>
          <w:szCs w:val="21"/>
        </w:rPr>
        <w:t>Timescales</w:t>
      </w:r>
    </w:p>
    <w:p w14:paraId="71B15574" w14:textId="77777777" w:rsidR="007B3EE5" w:rsidRDefault="007B3EE5" w:rsidP="007B3EE5">
      <w:pPr>
        <w:rPr>
          <w:rFonts w:ascii="Arial" w:hAnsi="Arial" w:cs="Arial"/>
          <w:sz w:val="21"/>
          <w:szCs w:val="21"/>
        </w:rPr>
      </w:pPr>
      <w:r w:rsidRPr="00FD136A">
        <w:rPr>
          <w:rFonts w:ascii="Arial" w:hAnsi="Arial" w:cs="Arial"/>
          <w:sz w:val="21"/>
          <w:szCs w:val="21"/>
        </w:rPr>
        <w:t xml:space="preserve">The BBSRC have requested that </w:t>
      </w:r>
      <w:r w:rsidRPr="00FD136A">
        <w:rPr>
          <w:rFonts w:ascii="Arial" w:hAnsi="Arial" w:cs="Arial"/>
          <w:sz w:val="21"/>
          <w:szCs w:val="21"/>
          <w:u w:val="single"/>
        </w:rPr>
        <w:t>all awarded funding is spent and reported by 30th June 2024</w:t>
      </w:r>
      <w:r w:rsidRPr="00FD136A">
        <w:rPr>
          <w:rFonts w:ascii="Arial" w:hAnsi="Arial" w:cs="Arial"/>
          <w:sz w:val="21"/>
          <w:szCs w:val="21"/>
        </w:rPr>
        <w:t xml:space="preserve"> with no option to extend beyond this date, outside of extenuating circumstances linked to the BBSRC public sector equality duty including maternity, paternity, adoption, shared </w:t>
      </w:r>
      <w:proofErr w:type="gramStart"/>
      <w:r w:rsidRPr="00FD136A">
        <w:rPr>
          <w:rFonts w:ascii="Arial" w:hAnsi="Arial" w:cs="Arial"/>
          <w:sz w:val="21"/>
          <w:szCs w:val="21"/>
        </w:rPr>
        <w:t>parental</w:t>
      </w:r>
      <w:proofErr w:type="gramEnd"/>
      <w:r w:rsidRPr="00FD136A">
        <w:rPr>
          <w:rFonts w:ascii="Arial" w:hAnsi="Arial" w:cs="Arial"/>
          <w:sz w:val="21"/>
          <w:szCs w:val="21"/>
        </w:rPr>
        <w:t xml:space="preserve"> and sickness leave.  </w:t>
      </w:r>
    </w:p>
    <w:p w14:paraId="3B28291E" w14:textId="77777777" w:rsidR="007B3EE5" w:rsidRDefault="007B3EE5" w:rsidP="007B3EE5">
      <w:pPr>
        <w:rPr>
          <w:rFonts w:ascii="Arial" w:hAnsi="Arial" w:cs="Arial"/>
          <w:sz w:val="21"/>
          <w:szCs w:val="21"/>
        </w:rPr>
      </w:pPr>
    </w:p>
    <w:p w14:paraId="0EBE45FC" w14:textId="77777777" w:rsidR="007B3EE5" w:rsidRDefault="007B3EE5" w:rsidP="007B3EE5">
      <w:pPr>
        <w:rPr>
          <w:rFonts w:ascii="Arial" w:hAnsi="Arial" w:cs="Arial"/>
          <w:b/>
          <w:bCs/>
          <w:sz w:val="21"/>
          <w:szCs w:val="21"/>
        </w:rPr>
      </w:pPr>
      <w:r w:rsidRPr="009364E7">
        <w:rPr>
          <w:rFonts w:ascii="Arial" w:hAnsi="Arial" w:cs="Arial"/>
          <w:b/>
          <w:bCs/>
          <w:sz w:val="21"/>
          <w:szCs w:val="21"/>
        </w:rPr>
        <w:t xml:space="preserve">Eligibility </w:t>
      </w:r>
    </w:p>
    <w:p w14:paraId="348F7F1B" w14:textId="77777777" w:rsidR="007B3EE5" w:rsidRPr="009364E7" w:rsidRDefault="007B3EE5" w:rsidP="007B3EE5">
      <w:pPr>
        <w:rPr>
          <w:rFonts w:ascii="Arial" w:hAnsi="Arial" w:cs="Arial"/>
          <w:sz w:val="21"/>
          <w:szCs w:val="21"/>
        </w:rPr>
      </w:pPr>
      <w:r w:rsidRPr="009364E7">
        <w:rPr>
          <w:rFonts w:ascii="Arial" w:hAnsi="Arial" w:cs="Arial"/>
          <w:sz w:val="21"/>
          <w:szCs w:val="21"/>
        </w:rPr>
        <w:t>Applicants must be staff with a permanent academic contract, or an independent fellow eligible to apply for external funding.</w:t>
      </w:r>
    </w:p>
    <w:p w14:paraId="000C0F3F" w14:textId="77777777" w:rsidR="007B3EE5" w:rsidRPr="00FD136A" w:rsidRDefault="007B3EE5" w:rsidP="007B3EE5">
      <w:pPr>
        <w:rPr>
          <w:rFonts w:ascii="Arial" w:hAnsi="Arial" w:cs="Arial"/>
          <w:sz w:val="21"/>
          <w:szCs w:val="21"/>
        </w:rPr>
      </w:pPr>
    </w:p>
    <w:p w14:paraId="69B18E98" w14:textId="77777777" w:rsidR="007B3EE5" w:rsidRPr="00FD136A"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1"/>
          <w:szCs w:val="21"/>
        </w:rPr>
      </w:pPr>
      <w:r w:rsidRPr="00FD136A">
        <w:rPr>
          <w:rFonts w:ascii="Arial" w:hAnsi="Arial" w:cs="Arial"/>
          <w:b/>
          <w:bCs/>
          <w:sz w:val="21"/>
          <w:szCs w:val="21"/>
        </w:rPr>
        <w:t>Funding</w:t>
      </w:r>
    </w:p>
    <w:p w14:paraId="5BB84B97" w14:textId="77777777" w:rsidR="007B3EE5" w:rsidRPr="009364E7" w:rsidRDefault="007B3EE5" w:rsidP="007B3EE5">
      <w:pPr>
        <w:rPr>
          <w:rFonts w:ascii="Arial" w:hAnsi="Arial" w:cs="Arial"/>
          <w:sz w:val="21"/>
          <w:szCs w:val="21"/>
        </w:rPr>
      </w:pPr>
      <w:r w:rsidRPr="009364E7">
        <w:rPr>
          <w:rFonts w:ascii="Arial" w:hAnsi="Arial" w:cs="Arial"/>
          <w:kern w:val="0"/>
          <w:sz w:val="21"/>
          <w:szCs w:val="21"/>
        </w:rPr>
        <w:t>Projects must be completed within 4 months and have defined and realistic milestones. There is no maximum budget, but 4-month projects will typically cost £40K-£50K dependent on the activities.</w:t>
      </w:r>
    </w:p>
    <w:p w14:paraId="4838B653" w14:textId="77777777" w:rsidR="007B3EE5" w:rsidRPr="009364E7" w:rsidRDefault="007B3EE5" w:rsidP="007B3EE5">
      <w:pPr>
        <w:rPr>
          <w:rFonts w:ascii="Arial" w:hAnsi="Arial" w:cs="Arial"/>
          <w:b/>
          <w:bCs/>
          <w:sz w:val="21"/>
          <w:szCs w:val="21"/>
        </w:rPr>
      </w:pPr>
    </w:p>
    <w:p w14:paraId="42B75928" w14:textId="77777777" w:rsidR="007B3EE5" w:rsidRDefault="007B3EE5" w:rsidP="007B3EE5">
      <w:pPr>
        <w:rPr>
          <w:rFonts w:ascii="Arial" w:hAnsi="Arial" w:cs="Arial"/>
          <w:kern w:val="0"/>
          <w:sz w:val="21"/>
          <w:szCs w:val="21"/>
        </w:rPr>
      </w:pPr>
      <w:r w:rsidRPr="009364E7">
        <w:rPr>
          <w:rFonts w:ascii="Arial" w:hAnsi="Arial" w:cs="Arial"/>
          <w:kern w:val="0"/>
          <w:sz w:val="21"/>
          <w:szCs w:val="21"/>
        </w:rPr>
        <w:t xml:space="preserve">The deadline for applications is CoP on </w:t>
      </w:r>
      <w:r w:rsidRPr="009364E7">
        <w:rPr>
          <w:rFonts w:ascii="Arial" w:hAnsi="Arial" w:cs="Arial"/>
          <w:kern w:val="0"/>
          <w:sz w:val="21"/>
          <w:szCs w:val="21"/>
          <w:u w:val="single"/>
        </w:rPr>
        <w:t>Friday 26th January 2024</w:t>
      </w:r>
      <w:r w:rsidRPr="009364E7">
        <w:rPr>
          <w:rFonts w:ascii="Arial" w:hAnsi="Arial" w:cs="Arial"/>
          <w:kern w:val="0"/>
          <w:sz w:val="21"/>
          <w:szCs w:val="21"/>
        </w:rPr>
        <w:t>.</w:t>
      </w:r>
    </w:p>
    <w:p w14:paraId="0EE4268E" w14:textId="77777777" w:rsidR="007B3EE5" w:rsidRDefault="007B3EE5" w:rsidP="007B3EE5">
      <w:pPr>
        <w:rPr>
          <w:rFonts w:ascii="Arial" w:hAnsi="Arial" w:cs="Arial"/>
          <w:kern w:val="0"/>
          <w:sz w:val="21"/>
          <w:szCs w:val="21"/>
        </w:rPr>
      </w:pPr>
    </w:p>
    <w:p w14:paraId="61A7D2F3" w14:textId="77777777" w:rsidR="007B3EE5" w:rsidRDefault="007B3EE5" w:rsidP="007B3EE5">
      <w:pPr>
        <w:rPr>
          <w:rFonts w:ascii="Arial" w:hAnsi="Arial" w:cs="Arial"/>
          <w:kern w:val="0"/>
          <w:sz w:val="21"/>
          <w:szCs w:val="21"/>
        </w:rPr>
      </w:pPr>
    </w:p>
    <w:tbl>
      <w:tblPr>
        <w:tblStyle w:val="TableGrid"/>
        <w:tblW w:w="0" w:type="auto"/>
        <w:tblLook w:val="04A0" w:firstRow="1" w:lastRow="0" w:firstColumn="1" w:lastColumn="0" w:noHBand="0" w:noVBand="1"/>
      </w:tblPr>
      <w:tblGrid>
        <w:gridCol w:w="4814"/>
        <w:gridCol w:w="1805"/>
      </w:tblGrid>
      <w:tr w:rsidR="007B3EE5" w14:paraId="7F1203C0" w14:textId="77777777" w:rsidTr="007A65FC">
        <w:tc>
          <w:tcPr>
            <w:tcW w:w="4814" w:type="dxa"/>
          </w:tcPr>
          <w:p w14:paraId="7E54AB69" w14:textId="77777777" w:rsidR="007B3EE5" w:rsidRPr="009364E7" w:rsidRDefault="007B3EE5" w:rsidP="007A65FC">
            <w:pPr>
              <w:jc w:val="center"/>
              <w:rPr>
                <w:rFonts w:ascii="Arial" w:hAnsi="Arial" w:cs="Arial"/>
                <w:b/>
                <w:bCs/>
                <w:kern w:val="0"/>
                <w:sz w:val="22"/>
                <w:szCs w:val="22"/>
              </w:rPr>
            </w:pPr>
            <w:r w:rsidRPr="009364E7">
              <w:rPr>
                <w:rFonts w:ascii="Arial" w:hAnsi="Arial" w:cs="Arial"/>
                <w:b/>
                <w:bCs/>
                <w:kern w:val="0"/>
                <w:sz w:val="22"/>
                <w:szCs w:val="22"/>
              </w:rPr>
              <w:t>Area</w:t>
            </w:r>
          </w:p>
        </w:tc>
        <w:tc>
          <w:tcPr>
            <w:tcW w:w="1805" w:type="dxa"/>
          </w:tcPr>
          <w:p w14:paraId="1140D402" w14:textId="77777777" w:rsidR="007B3EE5" w:rsidRDefault="007B3EE5" w:rsidP="007A65FC">
            <w:pPr>
              <w:jc w:val="center"/>
              <w:rPr>
                <w:rFonts w:ascii="Arial" w:hAnsi="Arial" w:cs="Arial"/>
                <w:kern w:val="0"/>
                <w:sz w:val="21"/>
                <w:szCs w:val="21"/>
              </w:rPr>
            </w:pPr>
            <w:r>
              <w:rPr>
                <w:rStyle w:val="Strong"/>
                <w:rFonts w:ascii="Arial" w:hAnsi="Arial" w:cs="Arial"/>
                <w:color w:val="161515"/>
                <w:sz w:val="23"/>
                <w:szCs w:val="23"/>
                <w:bdr w:val="none" w:sz="0" w:space="0" w:color="auto" w:frame="1"/>
                <w:shd w:val="clear" w:color="auto" w:fill="FFFFFF"/>
              </w:rPr>
              <w:t>Fundable (</w:t>
            </w:r>
            <w:r>
              <w:rPr>
                <w:rStyle w:val="Strong"/>
                <w:color w:val="161515"/>
                <w:sz w:val="23"/>
                <w:szCs w:val="23"/>
                <w:bdr w:val="none" w:sz="0" w:space="0" w:color="auto" w:frame="1"/>
                <w:shd w:val="clear" w:color="auto" w:fill="FFFFFF"/>
              </w:rPr>
              <w:t>Y/N)</w:t>
            </w:r>
          </w:p>
        </w:tc>
      </w:tr>
      <w:tr w:rsidR="007B3EE5" w14:paraId="37E20F7A" w14:textId="77777777" w:rsidTr="007A65FC">
        <w:tc>
          <w:tcPr>
            <w:tcW w:w="4814" w:type="dxa"/>
          </w:tcPr>
          <w:p w14:paraId="7126D156" w14:textId="77777777" w:rsidR="007B3EE5" w:rsidRPr="009364E7" w:rsidRDefault="007B3EE5" w:rsidP="007A65FC">
            <w:pPr>
              <w:jc w:val="center"/>
              <w:rPr>
                <w:rFonts w:ascii="Arial" w:hAnsi="Arial" w:cs="Arial"/>
                <w:kern w:val="0"/>
                <w:sz w:val="22"/>
                <w:szCs w:val="22"/>
              </w:rPr>
            </w:pPr>
            <w:r w:rsidRPr="009364E7">
              <w:rPr>
                <w:rFonts w:ascii="Arial" w:hAnsi="Arial" w:cs="Arial"/>
                <w:kern w:val="0"/>
                <w:sz w:val="22"/>
                <w:szCs w:val="22"/>
              </w:rPr>
              <w:t>Limited Research Consumables</w:t>
            </w:r>
          </w:p>
        </w:tc>
        <w:tc>
          <w:tcPr>
            <w:tcW w:w="1805" w:type="dxa"/>
          </w:tcPr>
          <w:p w14:paraId="7939C25B" w14:textId="77777777" w:rsidR="007B3EE5" w:rsidRDefault="007B3EE5" w:rsidP="007A65FC">
            <w:pPr>
              <w:jc w:val="center"/>
              <w:rPr>
                <w:rFonts w:ascii="Arial" w:hAnsi="Arial" w:cs="Arial"/>
                <w:kern w:val="0"/>
                <w:sz w:val="21"/>
                <w:szCs w:val="21"/>
              </w:rPr>
            </w:pPr>
            <w:r>
              <w:rPr>
                <w:rFonts w:ascii="Arial" w:hAnsi="Arial" w:cs="Arial"/>
                <w:kern w:val="0"/>
                <w:sz w:val="21"/>
                <w:szCs w:val="21"/>
              </w:rPr>
              <w:t>Y</w:t>
            </w:r>
          </w:p>
        </w:tc>
      </w:tr>
      <w:tr w:rsidR="007B3EE5" w14:paraId="6619EAA3" w14:textId="77777777" w:rsidTr="007A65FC">
        <w:tc>
          <w:tcPr>
            <w:tcW w:w="4814" w:type="dxa"/>
          </w:tcPr>
          <w:p w14:paraId="76787CE1" w14:textId="77777777" w:rsidR="007B3EE5" w:rsidRPr="009364E7" w:rsidRDefault="007B3EE5" w:rsidP="007A65FC">
            <w:pPr>
              <w:jc w:val="center"/>
              <w:rPr>
                <w:rFonts w:ascii="Arial" w:hAnsi="Arial" w:cs="Arial"/>
                <w:kern w:val="0"/>
                <w:sz w:val="22"/>
                <w:szCs w:val="22"/>
              </w:rPr>
            </w:pPr>
            <w:r w:rsidRPr="009364E7">
              <w:rPr>
                <w:rFonts w:ascii="Arial" w:hAnsi="Arial" w:cs="Arial"/>
                <w:kern w:val="0"/>
                <w:sz w:val="22"/>
                <w:szCs w:val="22"/>
              </w:rPr>
              <w:t>Travel</w:t>
            </w:r>
          </w:p>
        </w:tc>
        <w:tc>
          <w:tcPr>
            <w:tcW w:w="1805" w:type="dxa"/>
          </w:tcPr>
          <w:p w14:paraId="075BC179" w14:textId="77777777" w:rsidR="007B3EE5" w:rsidRDefault="007B3EE5" w:rsidP="007A65FC">
            <w:pPr>
              <w:jc w:val="center"/>
              <w:rPr>
                <w:rFonts w:ascii="Arial" w:hAnsi="Arial" w:cs="Arial"/>
                <w:kern w:val="0"/>
                <w:sz w:val="21"/>
                <w:szCs w:val="21"/>
              </w:rPr>
            </w:pPr>
            <w:r>
              <w:rPr>
                <w:rFonts w:ascii="Arial" w:hAnsi="Arial" w:cs="Arial"/>
                <w:kern w:val="0"/>
                <w:sz w:val="21"/>
                <w:szCs w:val="21"/>
              </w:rPr>
              <w:t>Y</w:t>
            </w:r>
          </w:p>
        </w:tc>
      </w:tr>
      <w:tr w:rsidR="007B3EE5" w14:paraId="48921AAE" w14:textId="77777777" w:rsidTr="007A65FC">
        <w:tc>
          <w:tcPr>
            <w:tcW w:w="4814" w:type="dxa"/>
          </w:tcPr>
          <w:p w14:paraId="0B4B6B73" w14:textId="77777777" w:rsidR="007B3EE5" w:rsidRPr="009364E7" w:rsidRDefault="007B3EE5" w:rsidP="007A65FC">
            <w:pPr>
              <w:jc w:val="center"/>
              <w:rPr>
                <w:rFonts w:ascii="Arial" w:hAnsi="Arial" w:cs="Arial"/>
                <w:kern w:val="0"/>
                <w:sz w:val="22"/>
                <w:szCs w:val="22"/>
              </w:rPr>
            </w:pPr>
            <w:r w:rsidRPr="009364E7">
              <w:rPr>
                <w:rFonts w:ascii="Arial" w:hAnsi="Arial" w:cs="Arial"/>
                <w:kern w:val="0"/>
                <w:sz w:val="22"/>
                <w:szCs w:val="22"/>
              </w:rPr>
              <w:t>Accommodation</w:t>
            </w:r>
          </w:p>
        </w:tc>
        <w:tc>
          <w:tcPr>
            <w:tcW w:w="1805" w:type="dxa"/>
          </w:tcPr>
          <w:p w14:paraId="6765D465" w14:textId="77777777" w:rsidR="007B3EE5" w:rsidRDefault="007B3EE5" w:rsidP="007A65FC">
            <w:pPr>
              <w:jc w:val="center"/>
              <w:rPr>
                <w:rFonts w:ascii="Arial" w:hAnsi="Arial" w:cs="Arial"/>
                <w:kern w:val="0"/>
                <w:sz w:val="21"/>
                <w:szCs w:val="21"/>
              </w:rPr>
            </w:pPr>
            <w:r>
              <w:rPr>
                <w:rFonts w:ascii="Arial" w:hAnsi="Arial" w:cs="Arial"/>
                <w:kern w:val="0"/>
                <w:sz w:val="21"/>
                <w:szCs w:val="21"/>
              </w:rPr>
              <w:t>Y</w:t>
            </w:r>
          </w:p>
        </w:tc>
      </w:tr>
      <w:tr w:rsidR="007B3EE5" w14:paraId="2092D506" w14:textId="77777777" w:rsidTr="007A65FC">
        <w:tc>
          <w:tcPr>
            <w:tcW w:w="4814" w:type="dxa"/>
          </w:tcPr>
          <w:p w14:paraId="281665F2" w14:textId="77777777" w:rsidR="007B3EE5" w:rsidRPr="009364E7" w:rsidRDefault="007B3EE5" w:rsidP="007A65FC">
            <w:pPr>
              <w:jc w:val="center"/>
              <w:rPr>
                <w:rFonts w:ascii="Arial" w:hAnsi="Arial" w:cs="Arial"/>
                <w:kern w:val="0"/>
                <w:sz w:val="22"/>
                <w:szCs w:val="22"/>
              </w:rPr>
            </w:pPr>
            <w:r w:rsidRPr="009364E7">
              <w:rPr>
                <w:rFonts w:ascii="Arial" w:hAnsi="Arial" w:cs="Arial"/>
                <w:color w:val="161515"/>
                <w:sz w:val="22"/>
                <w:szCs w:val="22"/>
                <w:shd w:val="clear" w:color="auto" w:fill="FFFFFF"/>
              </w:rPr>
              <w:t>Subsistence</w:t>
            </w:r>
          </w:p>
        </w:tc>
        <w:tc>
          <w:tcPr>
            <w:tcW w:w="1805" w:type="dxa"/>
          </w:tcPr>
          <w:p w14:paraId="7E51BB7E" w14:textId="77777777" w:rsidR="007B3EE5" w:rsidRDefault="007B3EE5" w:rsidP="007A65FC">
            <w:pPr>
              <w:jc w:val="center"/>
              <w:rPr>
                <w:rFonts w:ascii="Arial" w:hAnsi="Arial" w:cs="Arial"/>
                <w:kern w:val="0"/>
                <w:sz w:val="21"/>
                <w:szCs w:val="21"/>
              </w:rPr>
            </w:pPr>
            <w:r>
              <w:rPr>
                <w:rFonts w:ascii="Arial" w:hAnsi="Arial" w:cs="Arial"/>
                <w:kern w:val="0"/>
                <w:sz w:val="21"/>
                <w:szCs w:val="21"/>
              </w:rPr>
              <w:t>Y</w:t>
            </w:r>
          </w:p>
        </w:tc>
      </w:tr>
      <w:tr w:rsidR="007B3EE5" w14:paraId="42BBF553" w14:textId="77777777" w:rsidTr="007A65FC">
        <w:tc>
          <w:tcPr>
            <w:tcW w:w="4814" w:type="dxa"/>
          </w:tcPr>
          <w:p w14:paraId="3C031196" w14:textId="77777777" w:rsidR="007B3EE5" w:rsidRPr="009364E7" w:rsidRDefault="007B3EE5" w:rsidP="007A65FC">
            <w:pPr>
              <w:jc w:val="center"/>
              <w:rPr>
                <w:rFonts w:ascii="Arial" w:hAnsi="Arial" w:cs="Arial"/>
                <w:color w:val="161515"/>
                <w:sz w:val="22"/>
                <w:szCs w:val="22"/>
                <w:shd w:val="clear" w:color="auto" w:fill="FFFFFF"/>
              </w:rPr>
            </w:pPr>
            <w:r w:rsidRPr="009364E7">
              <w:rPr>
                <w:rFonts w:ascii="Arial" w:hAnsi="Arial" w:cs="Arial"/>
                <w:color w:val="161515"/>
                <w:sz w:val="22"/>
                <w:szCs w:val="22"/>
                <w:bdr w:val="none" w:sz="0" w:space="0" w:color="auto" w:frame="1"/>
                <w:shd w:val="clear" w:color="auto" w:fill="FFFFFF"/>
              </w:rPr>
              <w:t>Small project-related equipment </w:t>
            </w:r>
          </w:p>
        </w:tc>
        <w:tc>
          <w:tcPr>
            <w:tcW w:w="1805" w:type="dxa"/>
          </w:tcPr>
          <w:p w14:paraId="5CC66921" w14:textId="77777777" w:rsidR="007B3EE5" w:rsidRDefault="007B3EE5" w:rsidP="007A65FC">
            <w:pPr>
              <w:jc w:val="center"/>
              <w:rPr>
                <w:rFonts w:ascii="Arial" w:hAnsi="Arial" w:cs="Arial"/>
                <w:kern w:val="0"/>
                <w:sz w:val="21"/>
                <w:szCs w:val="21"/>
              </w:rPr>
            </w:pPr>
            <w:r>
              <w:rPr>
                <w:rFonts w:ascii="Arial" w:hAnsi="Arial" w:cs="Arial"/>
                <w:kern w:val="0"/>
                <w:sz w:val="21"/>
                <w:szCs w:val="21"/>
              </w:rPr>
              <w:t>Y</w:t>
            </w:r>
          </w:p>
        </w:tc>
      </w:tr>
      <w:tr w:rsidR="007B3EE5" w14:paraId="2C9D5BE9" w14:textId="77777777" w:rsidTr="007A65FC">
        <w:trPr>
          <w:trHeight w:val="452"/>
        </w:trPr>
        <w:tc>
          <w:tcPr>
            <w:tcW w:w="4814" w:type="dxa"/>
          </w:tcPr>
          <w:p w14:paraId="3FBF3EEE" w14:textId="77777777" w:rsidR="007B3EE5" w:rsidRPr="009364E7" w:rsidRDefault="007B3EE5" w:rsidP="007A65FC">
            <w:pPr>
              <w:jc w:val="center"/>
              <w:rPr>
                <w:rFonts w:ascii="Arial" w:hAnsi="Arial" w:cs="Arial"/>
                <w:kern w:val="0"/>
                <w:sz w:val="22"/>
                <w:szCs w:val="22"/>
              </w:rPr>
            </w:pPr>
            <w:r w:rsidRPr="009364E7">
              <w:rPr>
                <w:rFonts w:ascii="Arial" w:hAnsi="Arial" w:cs="Arial"/>
                <w:kern w:val="0"/>
                <w:sz w:val="22"/>
                <w:szCs w:val="22"/>
              </w:rPr>
              <w:t>Student support costs (</w:t>
            </w:r>
            <w:proofErr w:type="spellStart"/>
            <w:r w:rsidRPr="009364E7">
              <w:rPr>
                <w:rFonts w:ascii="Arial" w:hAnsi="Arial" w:cs="Arial"/>
                <w:kern w:val="0"/>
                <w:sz w:val="22"/>
                <w:szCs w:val="22"/>
              </w:rPr>
              <w:t>e.g</w:t>
            </w:r>
            <w:proofErr w:type="spellEnd"/>
            <w:r w:rsidRPr="009364E7">
              <w:rPr>
                <w:rFonts w:ascii="Arial" w:hAnsi="Arial" w:cs="Arial"/>
                <w:kern w:val="0"/>
                <w:sz w:val="22"/>
                <w:szCs w:val="22"/>
              </w:rPr>
              <w:t xml:space="preserve"> student </w:t>
            </w:r>
            <w:proofErr w:type="gramStart"/>
            <w:r w:rsidRPr="009364E7">
              <w:rPr>
                <w:rFonts w:ascii="Arial" w:hAnsi="Arial" w:cs="Arial"/>
                <w:kern w:val="0"/>
                <w:sz w:val="22"/>
                <w:szCs w:val="22"/>
              </w:rPr>
              <w:t>bursaries )</w:t>
            </w:r>
            <w:proofErr w:type="gramEnd"/>
          </w:p>
        </w:tc>
        <w:tc>
          <w:tcPr>
            <w:tcW w:w="1805" w:type="dxa"/>
          </w:tcPr>
          <w:p w14:paraId="26DDF8C5" w14:textId="77777777" w:rsidR="007B3EE5" w:rsidRDefault="007B3EE5" w:rsidP="007A65FC">
            <w:pPr>
              <w:rPr>
                <w:rFonts w:ascii="Arial" w:hAnsi="Arial" w:cs="Arial"/>
                <w:kern w:val="0"/>
                <w:sz w:val="21"/>
                <w:szCs w:val="21"/>
              </w:rPr>
            </w:pPr>
            <w:r>
              <w:rPr>
                <w:rFonts w:ascii="Arial" w:hAnsi="Arial" w:cs="Arial"/>
                <w:kern w:val="0"/>
                <w:sz w:val="21"/>
                <w:szCs w:val="21"/>
              </w:rPr>
              <w:t xml:space="preserve">            Y</w:t>
            </w:r>
          </w:p>
        </w:tc>
      </w:tr>
      <w:tr w:rsidR="007B3EE5" w14:paraId="4ADAD637" w14:textId="77777777" w:rsidTr="007A65FC">
        <w:tc>
          <w:tcPr>
            <w:tcW w:w="4814" w:type="dxa"/>
          </w:tcPr>
          <w:p w14:paraId="2BDBB1EB" w14:textId="77777777" w:rsidR="007B3EE5" w:rsidRPr="009364E7" w:rsidRDefault="007B3EE5" w:rsidP="007A65FC">
            <w:pPr>
              <w:jc w:val="center"/>
              <w:rPr>
                <w:rFonts w:ascii="Arial" w:hAnsi="Arial" w:cs="Arial"/>
                <w:color w:val="161515"/>
                <w:sz w:val="22"/>
                <w:szCs w:val="22"/>
                <w:shd w:val="clear" w:color="auto" w:fill="FFFFFF"/>
              </w:rPr>
            </w:pPr>
            <w:r w:rsidRPr="009364E7">
              <w:rPr>
                <w:rFonts w:ascii="Arial" w:hAnsi="Arial" w:cs="Arial"/>
                <w:color w:val="161515"/>
                <w:sz w:val="22"/>
                <w:szCs w:val="22"/>
                <w:shd w:val="clear" w:color="auto" w:fill="FFFFFF"/>
              </w:rPr>
              <w:t>Networking events such as workshops and seminars</w:t>
            </w:r>
          </w:p>
        </w:tc>
        <w:tc>
          <w:tcPr>
            <w:tcW w:w="1805" w:type="dxa"/>
          </w:tcPr>
          <w:p w14:paraId="264547A9" w14:textId="77777777" w:rsidR="007B3EE5" w:rsidRDefault="007B3EE5" w:rsidP="007A65FC">
            <w:pPr>
              <w:jc w:val="center"/>
              <w:rPr>
                <w:rFonts w:ascii="Arial" w:hAnsi="Arial" w:cs="Arial"/>
                <w:kern w:val="0"/>
                <w:sz w:val="21"/>
                <w:szCs w:val="21"/>
              </w:rPr>
            </w:pPr>
            <w:r>
              <w:rPr>
                <w:rFonts w:ascii="Arial" w:hAnsi="Arial" w:cs="Arial"/>
                <w:kern w:val="0"/>
                <w:sz w:val="21"/>
                <w:szCs w:val="21"/>
              </w:rPr>
              <w:t>Y</w:t>
            </w:r>
          </w:p>
        </w:tc>
      </w:tr>
      <w:tr w:rsidR="007B3EE5" w14:paraId="6E80B8B7" w14:textId="77777777" w:rsidTr="007A65FC">
        <w:tc>
          <w:tcPr>
            <w:tcW w:w="4814" w:type="dxa"/>
          </w:tcPr>
          <w:p w14:paraId="4858E22F" w14:textId="77777777" w:rsidR="007B3EE5" w:rsidRPr="009364E7" w:rsidRDefault="007B3EE5" w:rsidP="007A65FC">
            <w:pPr>
              <w:jc w:val="center"/>
              <w:rPr>
                <w:rFonts w:ascii="Arial" w:hAnsi="Arial" w:cs="Arial"/>
                <w:color w:val="161515"/>
                <w:sz w:val="22"/>
                <w:szCs w:val="22"/>
                <w:shd w:val="clear" w:color="auto" w:fill="FFFFFF"/>
              </w:rPr>
            </w:pPr>
            <w:r w:rsidRPr="009364E7">
              <w:rPr>
                <w:rFonts w:ascii="Arial" w:hAnsi="Arial" w:cs="Arial"/>
                <w:color w:val="161515"/>
                <w:sz w:val="22"/>
                <w:szCs w:val="22"/>
                <w:shd w:val="clear" w:color="auto" w:fill="FFFFFF"/>
              </w:rPr>
              <w:t>Bench fees</w:t>
            </w:r>
          </w:p>
        </w:tc>
        <w:tc>
          <w:tcPr>
            <w:tcW w:w="1805" w:type="dxa"/>
          </w:tcPr>
          <w:p w14:paraId="14E9F5A0" w14:textId="77777777" w:rsidR="007B3EE5" w:rsidRDefault="007B3EE5" w:rsidP="007A65FC">
            <w:pPr>
              <w:jc w:val="center"/>
              <w:rPr>
                <w:rFonts w:ascii="Arial" w:hAnsi="Arial" w:cs="Arial"/>
                <w:kern w:val="0"/>
                <w:sz w:val="21"/>
                <w:szCs w:val="21"/>
              </w:rPr>
            </w:pPr>
            <w:r>
              <w:rPr>
                <w:rFonts w:ascii="Arial" w:hAnsi="Arial" w:cs="Arial"/>
                <w:kern w:val="0"/>
                <w:sz w:val="21"/>
                <w:szCs w:val="21"/>
              </w:rPr>
              <w:t>N</w:t>
            </w:r>
          </w:p>
        </w:tc>
      </w:tr>
      <w:tr w:rsidR="007B3EE5" w14:paraId="65481FDA" w14:textId="77777777" w:rsidTr="007A65FC">
        <w:tc>
          <w:tcPr>
            <w:tcW w:w="4814" w:type="dxa"/>
          </w:tcPr>
          <w:p w14:paraId="5B3B2A28" w14:textId="77777777" w:rsidR="007B3EE5" w:rsidRPr="009364E7" w:rsidRDefault="007B3EE5" w:rsidP="007A65FC">
            <w:pPr>
              <w:jc w:val="center"/>
              <w:rPr>
                <w:rFonts w:ascii="Arial" w:hAnsi="Arial" w:cs="Arial"/>
                <w:color w:val="161515"/>
                <w:sz w:val="22"/>
                <w:szCs w:val="22"/>
                <w:shd w:val="clear" w:color="auto" w:fill="FFFFFF"/>
              </w:rPr>
            </w:pPr>
            <w:r w:rsidRPr="009364E7">
              <w:rPr>
                <w:rFonts w:ascii="Arial" w:hAnsi="Arial" w:cs="Arial"/>
                <w:color w:val="161515"/>
                <w:sz w:val="22"/>
                <w:szCs w:val="22"/>
                <w:shd w:val="clear" w:color="auto" w:fill="FFFFFF"/>
              </w:rPr>
              <w:t>Indirect and estate costs</w:t>
            </w:r>
          </w:p>
        </w:tc>
        <w:tc>
          <w:tcPr>
            <w:tcW w:w="1805" w:type="dxa"/>
          </w:tcPr>
          <w:p w14:paraId="07CD2D1B" w14:textId="77777777" w:rsidR="007B3EE5" w:rsidRDefault="007B3EE5" w:rsidP="007A65FC">
            <w:pPr>
              <w:jc w:val="center"/>
              <w:rPr>
                <w:rFonts w:ascii="Arial" w:hAnsi="Arial" w:cs="Arial"/>
                <w:kern w:val="0"/>
                <w:sz w:val="21"/>
                <w:szCs w:val="21"/>
              </w:rPr>
            </w:pPr>
            <w:r>
              <w:rPr>
                <w:rFonts w:ascii="Arial" w:hAnsi="Arial" w:cs="Arial"/>
                <w:kern w:val="0"/>
                <w:sz w:val="21"/>
                <w:szCs w:val="21"/>
              </w:rPr>
              <w:t>N</w:t>
            </w:r>
          </w:p>
        </w:tc>
      </w:tr>
      <w:tr w:rsidR="007B3EE5" w14:paraId="60D56181" w14:textId="77777777" w:rsidTr="007A65FC">
        <w:tc>
          <w:tcPr>
            <w:tcW w:w="4814" w:type="dxa"/>
          </w:tcPr>
          <w:p w14:paraId="1AFACD22" w14:textId="77777777" w:rsidR="007B3EE5" w:rsidRPr="009364E7" w:rsidRDefault="007B3EE5" w:rsidP="007A65FC">
            <w:pPr>
              <w:jc w:val="center"/>
              <w:rPr>
                <w:rFonts w:ascii="Arial" w:hAnsi="Arial" w:cs="Arial"/>
                <w:color w:val="161515"/>
                <w:sz w:val="22"/>
                <w:szCs w:val="22"/>
                <w:shd w:val="clear" w:color="auto" w:fill="FFFFFF"/>
              </w:rPr>
            </w:pPr>
            <w:r w:rsidRPr="009364E7">
              <w:rPr>
                <w:rFonts w:ascii="Arial" w:hAnsi="Arial" w:cs="Arial"/>
                <w:color w:val="161515"/>
                <w:sz w:val="22"/>
                <w:szCs w:val="22"/>
                <w:shd w:val="clear" w:color="auto" w:fill="FFFFFF"/>
              </w:rPr>
              <w:t>Salary costs (staff)</w:t>
            </w:r>
          </w:p>
        </w:tc>
        <w:tc>
          <w:tcPr>
            <w:tcW w:w="1805" w:type="dxa"/>
          </w:tcPr>
          <w:p w14:paraId="229C4A26" w14:textId="77777777" w:rsidR="007B3EE5" w:rsidRDefault="007B3EE5" w:rsidP="007A65FC">
            <w:pPr>
              <w:jc w:val="center"/>
              <w:rPr>
                <w:rFonts w:ascii="Arial" w:hAnsi="Arial" w:cs="Arial"/>
                <w:kern w:val="0"/>
                <w:sz w:val="21"/>
                <w:szCs w:val="21"/>
              </w:rPr>
            </w:pPr>
            <w:r>
              <w:rPr>
                <w:rFonts w:ascii="Arial" w:hAnsi="Arial" w:cs="Arial"/>
                <w:kern w:val="0"/>
                <w:sz w:val="21"/>
                <w:szCs w:val="21"/>
              </w:rPr>
              <w:t>N</w:t>
            </w:r>
          </w:p>
        </w:tc>
      </w:tr>
    </w:tbl>
    <w:p w14:paraId="750A7990" w14:textId="77777777" w:rsidR="007B3EE5" w:rsidRDefault="007B3EE5" w:rsidP="007B3EE5">
      <w:pPr>
        <w:rPr>
          <w:rFonts w:ascii="Arial" w:hAnsi="Arial" w:cs="Arial"/>
          <w:kern w:val="0"/>
          <w:sz w:val="21"/>
          <w:szCs w:val="21"/>
        </w:rPr>
      </w:pPr>
    </w:p>
    <w:p w14:paraId="2DE67223" w14:textId="77777777" w:rsidR="007B3EE5" w:rsidRPr="009364E7" w:rsidRDefault="007B3EE5" w:rsidP="007B3EE5">
      <w:pPr>
        <w:rPr>
          <w:rFonts w:ascii="Arial" w:hAnsi="Arial" w:cs="Arial"/>
          <w:b/>
          <w:bCs/>
          <w:kern w:val="0"/>
          <w:sz w:val="21"/>
          <w:szCs w:val="21"/>
        </w:rPr>
      </w:pPr>
    </w:p>
    <w:p w14:paraId="7CB5870C" w14:textId="77777777" w:rsidR="007B3EE5" w:rsidRPr="00FD136A"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p>
    <w:p w14:paraId="5B0ACB7F" w14:textId="77777777" w:rsidR="007B3EE5" w:rsidRPr="009364E7"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1"/>
          <w:szCs w:val="21"/>
        </w:rPr>
      </w:pPr>
      <w:r w:rsidRPr="009364E7">
        <w:rPr>
          <w:rFonts w:ascii="Arial" w:hAnsi="Arial" w:cs="Arial"/>
          <w:b/>
          <w:bCs/>
          <w:sz w:val="21"/>
          <w:szCs w:val="21"/>
        </w:rPr>
        <w:t xml:space="preserve">Application timeline </w:t>
      </w:r>
    </w:p>
    <w:p w14:paraId="482DB5F5" w14:textId="77777777" w:rsidR="007B3EE5" w:rsidRPr="00FD136A"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p>
    <w:tbl>
      <w:tblPr>
        <w:tblStyle w:val="TableGrid"/>
        <w:tblW w:w="0" w:type="auto"/>
        <w:tblLook w:val="04A0" w:firstRow="1" w:lastRow="0" w:firstColumn="1" w:lastColumn="0" w:noHBand="0" w:noVBand="1"/>
      </w:tblPr>
      <w:tblGrid>
        <w:gridCol w:w="6054"/>
        <w:gridCol w:w="2962"/>
      </w:tblGrid>
      <w:tr w:rsidR="007B3EE5" w:rsidRPr="00FD136A" w14:paraId="665A6941" w14:textId="77777777" w:rsidTr="007A65FC">
        <w:tc>
          <w:tcPr>
            <w:tcW w:w="6091" w:type="dxa"/>
          </w:tcPr>
          <w:p w14:paraId="1CAA4449"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Applications open</w:t>
            </w:r>
          </w:p>
        </w:tc>
        <w:tc>
          <w:tcPr>
            <w:tcW w:w="2976" w:type="dxa"/>
          </w:tcPr>
          <w:p w14:paraId="4B0A548C"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11 January 2024</w:t>
            </w:r>
          </w:p>
        </w:tc>
      </w:tr>
      <w:tr w:rsidR="007B3EE5" w:rsidRPr="00FD136A" w14:paraId="43A70BE8" w14:textId="77777777" w:rsidTr="007A65FC">
        <w:tc>
          <w:tcPr>
            <w:tcW w:w="6091" w:type="dxa"/>
          </w:tcPr>
          <w:p w14:paraId="3584E01E"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 xml:space="preserve">Submission deadline for applications </w:t>
            </w:r>
          </w:p>
        </w:tc>
        <w:tc>
          <w:tcPr>
            <w:tcW w:w="2976" w:type="dxa"/>
          </w:tcPr>
          <w:p w14:paraId="4596C241"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26 January 2024 (midnight)</w:t>
            </w:r>
          </w:p>
        </w:tc>
      </w:tr>
      <w:tr w:rsidR="007B3EE5" w:rsidRPr="00FD136A" w14:paraId="0CA003F0" w14:textId="77777777" w:rsidTr="007A65FC">
        <w:tc>
          <w:tcPr>
            <w:tcW w:w="6091" w:type="dxa"/>
          </w:tcPr>
          <w:p w14:paraId="7A80AA61"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Awards announced</w:t>
            </w:r>
          </w:p>
        </w:tc>
        <w:tc>
          <w:tcPr>
            <w:tcW w:w="2976" w:type="dxa"/>
          </w:tcPr>
          <w:p w14:paraId="3515490B"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2 February 2024</w:t>
            </w:r>
          </w:p>
        </w:tc>
      </w:tr>
      <w:tr w:rsidR="007B3EE5" w:rsidRPr="00FD136A" w14:paraId="75E2C16B" w14:textId="77777777" w:rsidTr="007A65FC">
        <w:tc>
          <w:tcPr>
            <w:tcW w:w="6091" w:type="dxa"/>
          </w:tcPr>
          <w:p w14:paraId="71C3D8F7"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Projects begin</w:t>
            </w:r>
          </w:p>
        </w:tc>
        <w:tc>
          <w:tcPr>
            <w:tcW w:w="2976" w:type="dxa"/>
          </w:tcPr>
          <w:p w14:paraId="01676037"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5 February 2024</w:t>
            </w:r>
          </w:p>
        </w:tc>
      </w:tr>
      <w:tr w:rsidR="007B3EE5" w:rsidRPr="00FD136A" w14:paraId="369D5B94" w14:textId="77777777" w:rsidTr="007A65FC">
        <w:tc>
          <w:tcPr>
            <w:tcW w:w="6091" w:type="dxa"/>
          </w:tcPr>
          <w:p w14:paraId="172322DB"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All activity and spend complete</w:t>
            </w:r>
          </w:p>
        </w:tc>
        <w:tc>
          <w:tcPr>
            <w:tcW w:w="2976" w:type="dxa"/>
          </w:tcPr>
          <w:p w14:paraId="39FCE9AD"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30 June 2024</w:t>
            </w:r>
          </w:p>
        </w:tc>
      </w:tr>
      <w:tr w:rsidR="007B3EE5" w:rsidRPr="00FD136A" w14:paraId="205A7A72" w14:textId="77777777" w:rsidTr="007A65FC">
        <w:tc>
          <w:tcPr>
            <w:tcW w:w="6091" w:type="dxa"/>
          </w:tcPr>
          <w:p w14:paraId="4DCF0C6A" w14:textId="77777777" w:rsidR="007B3EE5" w:rsidRPr="00FD136A" w:rsidRDefault="007B3EE5" w:rsidP="007A65FC">
            <w:pPr>
              <w:autoSpaceDE w:val="0"/>
              <w:autoSpaceDN w:val="0"/>
              <w:adjustRightInd w:val="0"/>
              <w:rPr>
                <w:rFonts w:ascii="Arial" w:hAnsi="Arial" w:cs="Arial"/>
                <w:sz w:val="21"/>
                <w:szCs w:val="21"/>
              </w:rPr>
            </w:pPr>
            <w:r w:rsidRPr="00FD136A">
              <w:rPr>
                <w:rFonts w:ascii="Arial" w:hAnsi="Arial" w:cs="Arial"/>
                <w:sz w:val="21"/>
                <w:szCs w:val="21"/>
              </w:rPr>
              <w:t>Project report submitted</w:t>
            </w:r>
          </w:p>
        </w:tc>
        <w:tc>
          <w:tcPr>
            <w:tcW w:w="2976" w:type="dxa"/>
          </w:tcPr>
          <w:p w14:paraId="1B1C1B92" w14:textId="77777777" w:rsidR="007B3EE5" w:rsidRPr="00FD136A" w:rsidRDefault="007B3EE5" w:rsidP="007A65FC">
            <w:pPr>
              <w:autoSpaceDE w:val="0"/>
              <w:autoSpaceDN w:val="0"/>
              <w:adjustRightInd w:val="0"/>
              <w:rPr>
                <w:rFonts w:ascii="Arial" w:hAnsi="Arial" w:cs="Arial"/>
                <w:color w:val="3F3F4D"/>
                <w:kern w:val="0"/>
                <w:sz w:val="21"/>
                <w:szCs w:val="21"/>
              </w:rPr>
            </w:pPr>
            <w:r w:rsidRPr="00FD136A">
              <w:rPr>
                <w:rFonts w:ascii="Arial" w:hAnsi="Arial" w:cs="Arial"/>
                <w:sz w:val="21"/>
                <w:szCs w:val="21"/>
              </w:rPr>
              <w:t>31 August 2024</w:t>
            </w:r>
          </w:p>
        </w:tc>
      </w:tr>
    </w:tbl>
    <w:p w14:paraId="7E19C28B" w14:textId="533620F7" w:rsidR="00B84F84" w:rsidRDefault="00B84F84"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4D"/>
          <w:kern w:val="0"/>
          <w:sz w:val="21"/>
          <w:szCs w:val="21"/>
        </w:rPr>
      </w:pPr>
    </w:p>
    <w:p w14:paraId="5959C52A" w14:textId="77777777" w:rsidR="007B3EE5"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4D"/>
          <w:kern w:val="0"/>
          <w:sz w:val="21"/>
          <w:szCs w:val="21"/>
        </w:rPr>
      </w:pPr>
    </w:p>
    <w:p w14:paraId="33135BE0" w14:textId="77777777" w:rsidR="007B3EE5"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4D"/>
          <w:kern w:val="0"/>
          <w:sz w:val="21"/>
          <w:szCs w:val="21"/>
        </w:rPr>
      </w:pPr>
    </w:p>
    <w:p w14:paraId="24360FB2" w14:textId="77777777" w:rsidR="007B3EE5"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4D"/>
          <w:kern w:val="0"/>
          <w:sz w:val="21"/>
          <w:szCs w:val="21"/>
        </w:rPr>
      </w:pPr>
    </w:p>
    <w:p w14:paraId="5A780E7D" w14:textId="77777777" w:rsidR="007B3EE5"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4D"/>
          <w:kern w:val="0"/>
          <w:sz w:val="21"/>
          <w:szCs w:val="21"/>
        </w:rPr>
      </w:pPr>
    </w:p>
    <w:p w14:paraId="561D78FC" w14:textId="77777777" w:rsidR="007B3EE5" w:rsidRPr="00C244E0" w:rsidRDefault="007B3EE5" w:rsidP="007B3EE5">
      <w:pPr>
        <w:rPr>
          <w:rFonts w:ascii="Arial" w:hAnsi="Arial" w:cs="Arial"/>
          <w:b/>
          <w:bCs/>
          <w:sz w:val="20"/>
          <w:szCs w:val="20"/>
          <w:u w:val="single"/>
        </w:rPr>
      </w:pPr>
      <w:r w:rsidRPr="00C244E0">
        <w:rPr>
          <w:rFonts w:ascii="Arial" w:hAnsi="Arial" w:cs="Arial"/>
          <w:b/>
          <w:bCs/>
          <w:sz w:val="20"/>
          <w:szCs w:val="20"/>
          <w:u w:val="single"/>
        </w:rPr>
        <w:lastRenderedPageBreak/>
        <w:t>Appendix 1</w:t>
      </w:r>
    </w:p>
    <w:p w14:paraId="43B75049" w14:textId="77777777" w:rsidR="007B3EE5" w:rsidRDefault="007B3EE5" w:rsidP="007B3EE5">
      <w:pPr>
        <w:rPr>
          <w:rFonts w:ascii="Arial" w:hAnsi="Arial" w:cs="Arial"/>
          <w:sz w:val="20"/>
          <w:szCs w:val="20"/>
        </w:rPr>
      </w:pPr>
    </w:p>
    <w:p w14:paraId="6A8FDA35" w14:textId="77777777" w:rsidR="007B3EE5" w:rsidRPr="007B3EE5" w:rsidRDefault="007B3EE5" w:rsidP="007B3EE5">
      <w:pPr>
        <w:rPr>
          <w:rFonts w:ascii="Arial" w:hAnsi="Arial" w:cs="Arial"/>
          <w:sz w:val="20"/>
          <w:szCs w:val="20"/>
        </w:rPr>
      </w:pPr>
      <w:r w:rsidRPr="007B3EE5">
        <w:rPr>
          <w:rFonts w:ascii="Arial" w:hAnsi="Arial" w:cs="Arial"/>
          <w:sz w:val="20"/>
          <w:szCs w:val="20"/>
        </w:rPr>
        <w:t xml:space="preserve">The UK Government’s Integrated Review of UK Foreign Policy can be accessed </w:t>
      </w:r>
      <w:hyperlink r:id="rId8" w:history="1">
        <w:r w:rsidRPr="007B3EE5">
          <w:rPr>
            <w:rStyle w:val="Hyperlink"/>
            <w:rFonts w:ascii="Arial" w:hAnsi="Arial" w:cs="Arial"/>
            <w:sz w:val="20"/>
            <w:szCs w:val="20"/>
          </w:rPr>
          <w:t>here.</w:t>
        </w:r>
      </w:hyperlink>
      <w:r w:rsidRPr="007B3EE5">
        <w:rPr>
          <w:rFonts w:ascii="Arial" w:hAnsi="Arial" w:cs="Arial"/>
          <w:sz w:val="20"/>
          <w:szCs w:val="20"/>
        </w:rPr>
        <w:t xml:space="preserve">  </w:t>
      </w:r>
    </w:p>
    <w:p w14:paraId="2BB30D5B" w14:textId="77777777" w:rsidR="007B3EE5" w:rsidRPr="007B3EE5" w:rsidRDefault="007B3EE5" w:rsidP="007B3EE5">
      <w:pPr>
        <w:rPr>
          <w:rFonts w:ascii="Arial" w:hAnsi="Arial" w:cs="Arial"/>
          <w:sz w:val="20"/>
          <w:szCs w:val="20"/>
        </w:rPr>
      </w:pPr>
    </w:p>
    <w:p w14:paraId="0F141755" w14:textId="77777777" w:rsidR="007B3EE5" w:rsidRPr="007B3EE5" w:rsidRDefault="007B3EE5" w:rsidP="007B3EE5">
      <w:pPr>
        <w:rPr>
          <w:rFonts w:ascii="Arial" w:hAnsi="Arial" w:cs="Arial"/>
          <w:sz w:val="20"/>
          <w:szCs w:val="20"/>
        </w:rPr>
      </w:pPr>
      <w:r w:rsidRPr="007B3EE5">
        <w:rPr>
          <w:rFonts w:ascii="Arial" w:hAnsi="Arial" w:cs="Arial"/>
          <w:sz w:val="20"/>
          <w:szCs w:val="20"/>
        </w:rPr>
        <w:t>The International Science Partnership Fund (ISPF) is the vehicle for delivery of the Research and Innovation aspects of the review. As part of ISPF, UKRI (and research councils like BBSRC) will work with partners in internationally to create new or expand existing bilateral and multi-international partner programmes in priority areas.</w:t>
      </w:r>
    </w:p>
    <w:p w14:paraId="10CFBEFF" w14:textId="77777777" w:rsidR="007B3EE5" w:rsidRPr="007B3EE5" w:rsidRDefault="007B3EE5" w:rsidP="007B3EE5">
      <w:pPr>
        <w:rPr>
          <w:rFonts w:ascii="Arial" w:hAnsi="Arial" w:cs="Arial"/>
          <w:sz w:val="20"/>
          <w:szCs w:val="20"/>
        </w:rPr>
      </w:pPr>
    </w:p>
    <w:p w14:paraId="0CDEE913" w14:textId="77777777" w:rsidR="007B3EE5" w:rsidRPr="007B3EE5" w:rsidRDefault="007B3EE5" w:rsidP="007B3EE5">
      <w:pPr>
        <w:rPr>
          <w:rFonts w:ascii="Arial" w:hAnsi="Arial" w:cs="Arial"/>
          <w:b/>
          <w:bCs/>
          <w:sz w:val="20"/>
          <w:szCs w:val="20"/>
        </w:rPr>
      </w:pPr>
      <w:r w:rsidRPr="007B3EE5">
        <w:rPr>
          <w:rFonts w:ascii="Arial" w:hAnsi="Arial" w:cs="Arial"/>
          <w:b/>
          <w:bCs/>
          <w:sz w:val="20"/>
          <w:szCs w:val="20"/>
        </w:rPr>
        <w:t xml:space="preserve">The Government have identified a </w:t>
      </w:r>
      <w:proofErr w:type="gramStart"/>
      <w:r w:rsidRPr="007B3EE5">
        <w:rPr>
          <w:rFonts w:ascii="Arial" w:hAnsi="Arial" w:cs="Arial"/>
          <w:b/>
          <w:bCs/>
          <w:sz w:val="20"/>
          <w:szCs w:val="20"/>
        </w:rPr>
        <w:t>wide-range</w:t>
      </w:r>
      <w:proofErr w:type="gramEnd"/>
      <w:r w:rsidRPr="007B3EE5">
        <w:rPr>
          <w:rFonts w:ascii="Arial" w:hAnsi="Arial" w:cs="Arial"/>
          <w:b/>
          <w:bCs/>
          <w:sz w:val="20"/>
          <w:szCs w:val="20"/>
        </w:rPr>
        <w:t xml:space="preserve"> of priority countries for ISPF agreements:</w:t>
      </w:r>
    </w:p>
    <w:p w14:paraId="5EA0265D" w14:textId="77777777" w:rsidR="007B3EE5" w:rsidRPr="007B3EE5" w:rsidRDefault="007B3EE5" w:rsidP="007B3EE5">
      <w:pPr>
        <w:rPr>
          <w:rFonts w:ascii="Arial" w:hAnsi="Arial" w:cs="Arial"/>
          <w:sz w:val="20"/>
          <w:szCs w:val="20"/>
        </w:rPr>
      </w:pPr>
      <w:r w:rsidRPr="007B3EE5">
        <w:rPr>
          <w:rFonts w:ascii="Arial" w:hAnsi="Arial" w:cs="Arial"/>
          <w:sz w:val="20"/>
          <w:szCs w:val="20"/>
        </w:rPr>
        <w:t xml:space="preserve">All </w:t>
      </w:r>
      <w:hyperlink r:id="rId9" w:anchor=":~:text=The%20EU%20countries%20are%3A,%2C%20Slovenia%2C%20Spain%20and%20Sweden." w:history="1">
        <w:r w:rsidRPr="007B3EE5">
          <w:rPr>
            <w:rStyle w:val="Hyperlink"/>
            <w:rFonts w:ascii="Arial" w:hAnsi="Arial" w:cs="Arial"/>
            <w:sz w:val="20"/>
            <w:szCs w:val="20"/>
          </w:rPr>
          <w:t>European Member States</w:t>
        </w:r>
      </w:hyperlink>
      <w:r w:rsidRPr="007B3EE5">
        <w:rPr>
          <w:rFonts w:ascii="Arial" w:hAnsi="Arial" w:cs="Arial"/>
          <w:sz w:val="20"/>
          <w:szCs w:val="20"/>
        </w:rPr>
        <w:t xml:space="preserve"> and countries </w:t>
      </w:r>
      <w:hyperlink r:id="rId10" w:history="1">
        <w:r w:rsidRPr="007B3EE5">
          <w:rPr>
            <w:rStyle w:val="Hyperlink"/>
            <w:rFonts w:ascii="Arial" w:hAnsi="Arial" w:cs="Arial"/>
            <w:sz w:val="20"/>
            <w:szCs w:val="20"/>
          </w:rPr>
          <w:t>associated with Horizon Europe</w:t>
        </w:r>
      </w:hyperlink>
      <w:r w:rsidRPr="007B3EE5">
        <w:rPr>
          <w:rFonts w:ascii="Arial" w:hAnsi="Arial" w:cs="Arial"/>
          <w:sz w:val="20"/>
          <w:szCs w:val="20"/>
        </w:rPr>
        <w:t xml:space="preserve"> </w:t>
      </w:r>
    </w:p>
    <w:p w14:paraId="40EC9AEC" w14:textId="77777777" w:rsidR="007B3EE5" w:rsidRPr="007B3EE5" w:rsidRDefault="007B3EE5" w:rsidP="007B3EE5">
      <w:pPr>
        <w:rPr>
          <w:rFonts w:ascii="Arial" w:hAnsi="Arial" w:cs="Arial"/>
          <w:sz w:val="20"/>
          <w:szCs w:val="20"/>
        </w:rPr>
      </w:pPr>
    </w:p>
    <w:p w14:paraId="5000211B" w14:textId="77777777" w:rsidR="007B3EE5" w:rsidRPr="007B3EE5" w:rsidRDefault="007B3EE5" w:rsidP="007B3EE5">
      <w:pPr>
        <w:rPr>
          <w:rFonts w:ascii="Arial" w:hAnsi="Arial" w:cs="Arial"/>
          <w:sz w:val="20"/>
          <w:szCs w:val="20"/>
        </w:rPr>
      </w:pPr>
      <w:r w:rsidRPr="007B3EE5">
        <w:rPr>
          <w:rFonts w:ascii="Arial" w:hAnsi="Arial" w:cs="Arial"/>
          <w:sz w:val="20"/>
          <w:szCs w:val="20"/>
        </w:rPr>
        <w:t xml:space="preserve">US, Canada, South Korea, India, Japan, Israel, Switzerland, Singapore, China, Taiwan, Australia, New Zealand, Brazil, Egypt, Indonesia, Jordan, Kenya, Malaysia, Philippines, Thailand, Turkey, South </w:t>
      </w:r>
      <w:proofErr w:type="gramStart"/>
      <w:r w:rsidRPr="007B3EE5">
        <w:rPr>
          <w:rFonts w:ascii="Arial" w:hAnsi="Arial" w:cs="Arial"/>
          <w:sz w:val="20"/>
          <w:szCs w:val="20"/>
        </w:rPr>
        <w:t>Africa</w:t>
      </w:r>
      <w:proofErr w:type="gramEnd"/>
      <w:r w:rsidRPr="007B3EE5">
        <w:rPr>
          <w:rFonts w:ascii="Arial" w:hAnsi="Arial" w:cs="Arial"/>
          <w:sz w:val="20"/>
          <w:szCs w:val="20"/>
        </w:rPr>
        <w:t> and Vietnam.</w:t>
      </w:r>
    </w:p>
    <w:p w14:paraId="3002ECB0" w14:textId="77777777" w:rsidR="007B3EE5" w:rsidRPr="007B3EE5" w:rsidRDefault="007B3EE5" w:rsidP="007B3EE5">
      <w:pPr>
        <w:rPr>
          <w:rFonts w:ascii="Arial" w:hAnsi="Arial" w:cs="Arial"/>
          <w:sz w:val="20"/>
          <w:szCs w:val="20"/>
        </w:rPr>
      </w:pPr>
    </w:p>
    <w:p w14:paraId="7B3EFAA5" w14:textId="77777777" w:rsidR="007B3EE5" w:rsidRPr="007B3EE5" w:rsidRDefault="007B3EE5" w:rsidP="007B3EE5">
      <w:pPr>
        <w:rPr>
          <w:rFonts w:ascii="Arial" w:hAnsi="Arial" w:cs="Arial"/>
          <w:sz w:val="20"/>
          <w:szCs w:val="20"/>
        </w:rPr>
      </w:pPr>
      <w:r w:rsidRPr="007B3EE5">
        <w:rPr>
          <w:rFonts w:ascii="Arial" w:hAnsi="Arial" w:cs="Arial"/>
          <w:sz w:val="20"/>
          <w:szCs w:val="20"/>
        </w:rPr>
        <w:t>In addition, researchers based in all countries on the </w:t>
      </w:r>
      <w:hyperlink r:id="rId11" w:history="1">
        <w:r w:rsidRPr="007B3EE5">
          <w:rPr>
            <w:rStyle w:val="Hyperlink"/>
            <w:rFonts w:ascii="Arial" w:hAnsi="Arial" w:cs="Arial"/>
            <w:sz w:val="20"/>
            <w:szCs w:val="20"/>
          </w:rPr>
          <w:t>Least Developed Countries</w:t>
        </w:r>
      </w:hyperlink>
      <w:r w:rsidRPr="007B3EE5">
        <w:rPr>
          <w:rFonts w:ascii="Arial" w:hAnsi="Arial" w:cs="Arial"/>
          <w:sz w:val="20"/>
          <w:szCs w:val="20"/>
        </w:rPr>
        <w:t xml:space="preserve"> list are eligible. </w:t>
      </w:r>
    </w:p>
    <w:p w14:paraId="077CB44C" w14:textId="77777777" w:rsidR="007B3EE5" w:rsidRPr="007B3EE5" w:rsidRDefault="007B3EE5" w:rsidP="007B3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4D"/>
          <w:kern w:val="0"/>
          <w:sz w:val="20"/>
          <w:szCs w:val="20"/>
        </w:rPr>
      </w:pPr>
    </w:p>
    <w:sectPr w:rsidR="007B3EE5" w:rsidRPr="007B3E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2E4EB" w14:textId="77777777" w:rsidR="00903976" w:rsidRDefault="00903976" w:rsidP="007B3EE5">
      <w:r>
        <w:separator/>
      </w:r>
    </w:p>
  </w:endnote>
  <w:endnote w:type="continuationSeparator" w:id="0">
    <w:p w14:paraId="53E066F6" w14:textId="77777777" w:rsidR="00903976" w:rsidRDefault="00903976" w:rsidP="007B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89301"/>
      <w:docPartObj>
        <w:docPartGallery w:val="Page Numbers (Bottom of Page)"/>
        <w:docPartUnique/>
      </w:docPartObj>
    </w:sdtPr>
    <w:sdtContent>
      <w:p w14:paraId="6DA46774" w14:textId="4A14E80B" w:rsidR="007B3EE5" w:rsidRDefault="007B3EE5">
        <w:pPr>
          <w:pStyle w:val="Footer"/>
          <w:jc w:val="center"/>
        </w:pPr>
        <w:r>
          <w:fldChar w:fldCharType="begin"/>
        </w:r>
        <w:r>
          <w:instrText>PAGE   \* MERGEFORMAT</w:instrText>
        </w:r>
        <w:r>
          <w:fldChar w:fldCharType="separate"/>
        </w:r>
        <w:r>
          <w:t>2</w:t>
        </w:r>
        <w:r>
          <w:fldChar w:fldCharType="end"/>
        </w:r>
      </w:p>
    </w:sdtContent>
  </w:sdt>
  <w:p w14:paraId="18C82E3C" w14:textId="77777777" w:rsidR="007B3EE5" w:rsidRDefault="007B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8904" w14:textId="77777777" w:rsidR="00903976" w:rsidRDefault="00903976" w:rsidP="007B3EE5">
      <w:r>
        <w:separator/>
      </w:r>
    </w:p>
  </w:footnote>
  <w:footnote w:type="continuationSeparator" w:id="0">
    <w:p w14:paraId="0AAA4087" w14:textId="77777777" w:rsidR="00903976" w:rsidRDefault="00903976" w:rsidP="007B3EE5">
      <w:r>
        <w:continuationSeparator/>
      </w:r>
    </w:p>
  </w:footnote>
  <w:footnote w:id="1">
    <w:p w14:paraId="1BEBB60F" w14:textId="77777777" w:rsidR="007B3EE5" w:rsidRDefault="007B3EE5" w:rsidP="007B3EE5">
      <w:pPr>
        <w:pStyle w:val="FootnoteText"/>
      </w:pPr>
      <w:r>
        <w:rPr>
          <w:rStyle w:val="FootnoteReference"/>
        </w:rPr>
        <w:footnoteRef/>
      </w:r>
      <w:r>
        <w:t xml:space="preserve"> See Appendix 1 for details of countries/regions highlighted in </w:t>
      </w:r>
      <w:r w:rsidRPr="003D4242">
        <w:t>the UK Government’s Integrated Review</w:t>
      </w:r>
      <w:r>
        <w:t xml:space="preserve"> and International Science Partnership Fund (ISPF).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1FB9" w14:textId="64C0B371" w:rsidR="007B3EE5" w:rsidRDefault="007B3EE5">
    <w:pPr>
      <w:pStyle w:val="Header"/>
    </w:pPr>
    <w:r>
      <w:rPr>
        <w:noProof/>
      </w:rPr>
      <w:drawing>
        <wp:anchor distT="0" distB="0" distL="114300" distR="114300" simplePos="0" relativeHeight="251659264" behindDoc="0" locked="0" layoutInCell="1" allowOverlap="1" wp14:anchorId="42629877" wp14:editId="1FF177CB">
          <wp:simplePos x="0" y="0"/>
          <wp:positionH relativeFrom="column">
            <wp:posOffset>4335780</wp:posOffset>
          </wp:positionH>
          <wp:positionV relativeFrom="paragraph">
            <wp:posOffset>-111125</wp:posOffset>
          </wp:positionV>
          <wp:extent cx="1854835" cy="452120"/>
          <wp:effectExtent l="0" t="0" r="0" b="5080"/>
          <wp:wrapSquare wrapText="bothSides"/>
          <wp:docPr id="1050041315" name="Picture 6" descr="UKRI – UK Research and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KRI – UK Research and 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835" cy="45212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D1D612D" wp14:editId="4CEF9791">
          <wp:simplePos x="0" y="0"/>
          <wp:positionH relativeFrom="column">
            <wp:posOffset>0</wp:posOffset>
          </wp:positionH>
          <wp:positionV relativeFrom="paragraph">
            <wp:posOffset>-1905</wp:posOffset>
          </wp:positionV>
          <wp:extent cx="1294646" cy="340923"/>
          <wp:effectExtent l="0" t="0" r="1270" b="2540"/>
          <wp:wrapSquare wrapText="bothSides"/>
          <wp:docPr id="621795325" name="Picture 3" descr="A close 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95325" name="Picture 3" descr="A close up of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646" cy="340923"/>
                  </a:xfrm>
                  <a:prstGeom prst="rect">
                    <a:avLst/>
                  </a:prstGeom>
                  <a:noFill/>
                  <a:ln>
                    <a:noFill/>
                  </a:ln>
                </pic:spPr>
              </pic:pic>
            </a:graphicData>
          </a:graphic>
        </wp:anchor>
      </w:drawing>
    </w:r>
  </w:p>
  <w:p w14:paraId="713DF973" w14:textId="14CF035D" w:rsidR="007B3EE5" w:rsidRDefault="007B3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5F62"/>
    <w:multiLevelType w:val="hybridMultilevel"/>
    <w:tmpl w:val="FE546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8160B"/>
    <w:multiLevelType w:val="hybridMultilevel"/>
    <w:tmpl w:val="D2FCC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D41C6"/>
    <w:multiLevelType w:val="hybridMultilevel"/>
    <w:tmpl w:val="71EA9EBE"/>
    <w:lvl w:ilvl="0" w:tplc="47F4BAD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E97558"/>
    <w:multiLevelType w:val="hybridMultilevel"/>
    <w:tmpl w:val="15E8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047576">
    <w:abstractNumId w:val="3"/>
  </w:num>
  <w:num w:numId="2" w16cid:durableId="1124808907">
    <w:abstractNumId w:val="0"/>
  </w:num>
  <w:num w:numId="3" w16cid:durableId="709721134">
    <w:abstractNumId w:val="2"/>
  </w:num>
  <w:num w:numId="4" w16cid:durableId="88271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E5"/>
    <w:rsid w:val="00107DB3"/>
    <w:rsid w:val="007B3EE5"/>
    <w:rsid w:val="00903976"/>
    <w:rsid w:val="00B8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1292"/>
  <w15:chartTrackingRefBased/>
  <w15:docId w15:val="{F3FC4CC0-6C01-45E3-989B-58C7BB37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E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EE5"/>
    <w:rPr>
      <w:color w:val="0563C1" w:themeColor="hyperlink"/>
      <w:u w:val="single"/>
    </w:rPr>
  </w:style>
  <w:style w:type="table" w:styleId="TableGrid">
    <w:name w:val="Table Grid"/>
    <w:basedOn w:val="TableNormal"/>
    <w:uiPriority w:val="39"/>
    <w:rsid w:val="007B3E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EE5"/>
    <w:pPr>
      <w:ind w:left="720"/>
      <w:contextualSpacing/>
    </w:pPr>
  </w:style>
  <w:style w:type="paragraph" w:styleId="FootnoteText">
    <w:name w:val="footnote text"/>
    <w:basedOn w:val="Normal"/>
    <w:link w:val="FootnoteTextChar"/>
    <w:uiPriority w:val="99"/>
    <w:semiHidden/>
    <w:unhideWhenUsed/>
    <w:rsid w:val="007B3EE5"/>
    <w:rPr>
      <w:sz w:val="20"/>
      <w:szCs w:val="20"/>
    </w:rPr>
  </w:style>
  <w:style w:type="character" w:customStyle="1" w:styleId="FootnoteTextChar">
    <w:name w:val="Footnote Text Char"/>
    <w:basedOn w:val="DefaultParagraphFont"/>
    <w:link w:val="FootnoteText"/>
    <w:uiPriority w:val="99"/>
    <w:semiHidden/>
    <w:rsid w:val="007B3EE5"/>
    <w:rPr>
      <w:sz w:val="20"/>
      <w:szCs w:val="20"/>
    </w:rPr>
  </w:style>
  <w:style w:type="character" w:styleId="FootnoteReference">
    <w:name w:val="footnote reference"/>
    <w:basedOn w:val="DefaultParagraphFont"/>
    <w:uiPriority w:val="99"/>
    <w:semiHidden/>
    <w:unhideWhenUsed/>
    <w:rsid w:val="007B3EE5"/>
    <w:rPr>
      <w:vertAlign w:val="superscript"/>
    </w:rPr>
  </w:style>
  <w:style w:type="character" w:styleId="Strong">
    <w:name w:val="Strong"/>
    <w:basedOn w:val="DefaultParagraphFont"/>
    <w:uiPriority w:val="22"/>
    <w:qFormat/>
    <w:rsid w:val="007B3EE5"/>
    <w:rPr>
      <w:b/>
      <w:bCs/>
    </w:rPr>
  </w:style>
  <w:style w:type="paragraph" w:styleId="Header">
    <w:name w:val="header"/>
    <w:basedOn w:val="Normal"/>
    <w:link w:val="HeaderChar"/>
    <w:uiPriority w:val="99"/>
    <w:unhideWhenUsed/>
    <w:rsid w:val="007B3EE5"/>
    <w:pPr>
      <w:tabs>
        <w:tab w:val="center" w:pos="4513"/>
        <w:tab w:val="right" w:pos="9026"/>
      </w:tabs>
    </w:pPr>
  </w:style>
  <w:style w:type="character" w:customStyle="1" w:styleId="HeaderChar">
    <w:name w:val="Header Char"/>
    <w:basedOn w:val="DefaultParagraphFont"/>
    <w:link w:val="Header"/>
    <w:uiPriority w:val="99"/>
    <w:rsid w:val="007B3EE5"/>
    <w:rPr>
      <w:sz w:val="24"/>
      <w:szCs w:val="24"/>
    </w:rPr>
  </w:style>
  <w:style w:type="paragraph" w:styleId="Footer">
    <w:name w:val="footer"/>
    <w:basedOn w:val="Normal"/>
    <w:link w:val="FooterChar"/>
    <w:uiPriority w:val="99"/>
    <w:unhideWhenUsed/>
    <w:rsid w:val="007B3EE5"/>
    <w:pPr>
      <w:tabs>
        <w:tab w:val="center" w:pos="4513"/>
        <w:tab w:val="right" w:pos="9026"/>
      </w:tabs>
    </w:pPr>
  </w:style>
  <w:style w:type="character" w:customStyle="1" w:styleId="FooterChar">
    <w:name w:val="Footer Char"/>
    <w:basedOn w:val="DefaultParagraphFont"/>
    <w:link w:val="Footer"/>
    <w:uiPriority w:val="99"/>
    <w:rsid w:val="007B3E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tegrated-review-refresh-2023-responding-to-a-more-contested-and-volatile-worl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kri.org/councils/bbsrc/remit-programmes-and-prioriti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tad.org/topic/least-developed-countries/li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search-and-innovation.ec.europa.eu/strategy/strategy-2020-2024/europe-world/international-cooperation/association-horizon-europe_en" TargetMode="External"/><Relationship Id="rId4" Type="http://schemas.openxmlformats.org/officeDocument/2006/relationships/webSettings" Target="webSettings.xml"/><Relationship Id="rId9" Type="http://schemas.openxmlformats.org/officeDocument/2006/relationships/hyperlink" Target="https://www.gov.uk/eu-ee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Avricevic, Angelina</dc:creator>
  <cp:keywords/>
  <dc:description/>
  <cp:lastModifiedBy>Avricevic, Angelina</cp:lastModifiedBy>
  <cp:revision>1</cp:revision>
  <dcterms:created xsi:type="dcterms:W3CDTF">2024-01-09T11:21:00Z</dcterms:created>
  <dcterms:modified xsi:type="dcterms:W3CDTF">2024-01-09T11:24:00Z</dcterms:modified>
</cp:coreProperties>
</file>