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2438E" w14:textId="0C98357D" w:rsidR="00D30752" w:rsidRPr="00D30752" w:rsidRDefault="00D30752" w:rsidP="00D30752">
      <w:pPr>
        <w:jc w:val="center"/>
        <w:rPr>
          <w:b/>
          <w:sz w:val="28"/>
          <w:szCs w:val="28"/>
          <w:u w:val="single"/>
        </w:rPr>
      </w:pPr>
      <w:r w:rsidRPr="00D30752">
        <w:rPr>
          <w:b/>
          <w:sz w:val="28"/>
          <w:szCs w:val="28"/>
          <w:u w:val="single"/>
        </w:rPr>
        <w:t xml:space="preserve">KEF </w:t>
      </w:r>
      <w:r w:rsidR="00087050">
        <w:rPr>
          <w:b/>
          <w:sz w:val="28"/>
          <w:szCs w:val="28"/>
          <w:u w:val="single"/>
        </w:rPr>
        <w:t>Consultation January 2019</w:t>
      </w:r>
      <w:r w:rsidRPr="00D30752">
        <w:rPr>
          <w:b/>
          <w:sz w:val="28"/>
          <w:szCs w:val="28"/>
          <w:u w:val="single"/>
        </w:rPr>
        <w:t>: Imperial College London Response</w:t>
      </w:r>
      <w:bookmarkStart w:id="0" w:name="_GoBack"/>
      <w:bookmarkEnd w:id="0"/>
    </w:p>
    <w:p w14:paraId="6BEC38B2" w14:textId="77777777" w:rsidR="00D30752" w:rsidRDefault="00D30752" w:rsidP="00D30752">
      <w:pPr>
        <w:spacing w:after="0"/>
        <w:rPr>
          <w:b/>
        </w:rPr>
      </w:pPr>
    </w:p>
    <w:p w14:paraId="026B77CD" w14:textId="3F57FBE1" w:rsidR="006C47CF" w:rsidRDefault="003550A3" w:rsidP="00D04295">
      <w:pPr>
        <w:rPr>
          <w:b/>
        </w:rPr>
      </w:pPr>
      <w:r w:rsidRPr="00507CA4">
        <w:rPr>
          <w:b/>
        </w:rPr>
        <w:t xml:space="preserve">1. </w:t>
      </w:r>
      <w:r w:rsidR="00D439B1">
        <w:rPr>
          <w:b/>
        </w:rPr>
        <w:t>Introduction</w:t>
      </w:r>
    </w:p>
    <w:p w14:paraId="3080F0CB" w14:textId="1338BB05" w:rsidR="006D2F86" w:rsidRPr="00D04295" w:rsidRDefault="00D439B1" w:rsidP="00D04295">
      <w:pPr>
        <w:rPr>
          <w:b/>
        </w:rPr>
      </w:pPr>
      <w:r>
        <w:rPr>
          <w:b/>
        </w:rPr>
        <w:t>Tick here to continue to consultation.</w:t>
      </w:r>
    </w:p>
    <w:p w14:paraId="0CF9FA88" w14:textId="48552FCC" w:rsidR="00B83136" w:rsidRPr="00801C37" w:rsidRDefault="00D439B1" w:rsidP="00087050">
      <w:pPr>
        <w:pStyle w:val="ListParagraph"/>
        <w:spacing w:after="0"/>
        <w:ind w:left="360"/>
      </w:pPr>
      <w:r w:rsidRPr="00026BA9">
        <w:rPr>
          <w:highlight w:val="yellow"/>
        </w:rPr>
        <w:t xml:space="preserve">[Tick </w:t>
      </w:r>
      <w:r w:rsidR="00AC7CBD" w:rsidRPr="00026BA9">
        <w:rPr>
          <w:highlight w:val="yellow"/>
        </w:rPr>
        <w:t xml:space="preserve">- </w:t>
      </w:r>
      <w:r w:rsidRPr="00026BA9">
        <w:rPr>
          <w:highlight w:val="yellow"/>
        </w:rPr>
        <w:t>Yes]</w:t>
      </w:r>
    </w:p>
    <w:p w14:paraId="6D0CEF1F" w14:textId="77777777" w:rsidR="00801C37" w:rsidRPr="00801C37" w:rsidRDefault="00801C37" w:rsidP="00801C37">
      <w:pPr>
        <w:pStyle w:val="ListParagraph"/>
        <w:spacing w:after="0"/>
        <w:ind w:left="360"/>
        <w:rPr>
          <w:i/>
        </w:rPr>
      </w:pPr>
    </w:p>
    <w:p w14:paraId="3F99928B" w14:textId="5B1072C3" w:rsidR="00CD6A60" w:rsidRDefault="003550A3" w:rsidP="003550A3">
      <w:pPr>
        <w:rPr>
          <w:b/>
        </w:rPr>
      </w:pPr>
      <w:r w:rsidRPr="00507CA4">
        <w:rPr>
          <w:b/>
        </w:rPr>
        <w:t xml:space="preserve">2. </w:t>
      </w:r>
      <w:r w:rsidR="00D439B1">
        <w:rPr>
          <w:b/>
        </w:rPr>
        <w:t>Respondent details</w:t>
      </w:r>
    </w:p>
    <w:p w14:paraId="243E6F8D" w14:textId="0197BB1D" w:rsidR="003550A3" w:rsidRPr="00507CA4" w:rsidRDefault="00D439B1" w:rsidP="003550A3">
      <w:pPr>
        <w:rPr>
          <w:b/>
        </w:rPr>
      </w:pPr>
      <w:r>
        <w:rPr>
          <w:b/>
        </w:rPr>
        <w:t>Please indicate who you are primarily responding on behalf of.</w:t>
      </w:r>
    </w:p>
    <w:p w14:paraId="1CB887B3" w14:textId="45632F1F" w:rsidR="00E076B0" w:rsidRDefault="00D439B1" w:rsidP="00087050">
      <w:pPr>
        <w:pStyle w:val="ListParagraph"/>
        <w:ind w:left="360"/>
      </w:pPr>
      <w:r w:rsidRPr="00026BA9">
        <w:rPr>
          <w:highlight w:val="yellow"/>
        </w:rPr>
        <w:t>English Higher Education Institution</w:t>
      </w:r>
    </w:p>
    <w:p w14:paraId="0AA68AEE" w14:textId="77777777" w:rsidR="006C47CF" w:rsidRDefault="003550A3" w:rsidP="00D439B1">
      <w:pPr>
        <w:autoSpaceDE w:val="0"/>
        <w:autoSpaceDN w:val="0"/>
        <w:adjustRightInd w:val="0"/>
        <w:spacing w:after="0" w:line="240" w:lineRule="auto"/>
        <w:rPr>
          <w:b/>
        </w:rPr>
      </w:pPr>
      <w:r w:rsidRPr="00507CA4">
        <w:rPr>
          <w:b/>
        </w:rPr>
        <w:t xml:space="preserve">3. </w:t>
      </w:r>
      <w:r w:rsidR="00D439B1">
        <w:rPr>
          <w:b/>
        </w:rPr>
        <w:t>Contact details [HEI]</w:t>
      </w:r>
    </w:p>
    <w:p w14:paraId="711241E6" w14:textId="77777777" w:rsidR="006C47CF" w:rsidRDefault="006C47CF" w:rsidP="00D439B1">
      <w:pPr>
        <w:autoSpaceDE w:val="0"/>
        <w:autoSpaceDN w:val="0"/>
        <w:adjustRightInd w:val="0"/>
        <w:spacing w:after="0" w:line="240" w:lineRule="auto"/>
        <w:rPr>
          <w:b/>
        </w:rPr>
      </w:pPr>
    </w:p>
    <w:p w14:paraId="5ADEC451" w14:textId="7288D8C9" w:rsidR="003550A3" w:rsidRDefault="00D439B1" w:rsidP="006C47CF">
      <w:pPr>
        <w:autoSpaceDE w:val="0"/>
        <w:autoSpaceDN w:val="0"/>
        <w:adjustRightInd w:val="0"/>
        <w:spacing w:after="0" w:line="240" w:lineRule="auto"/>
        <w:rPr>
          <w:b/>
        </w:rPr>
      </w:pPr>
      <w:r>
        <w:rPr>
          <w:b/>
        </w:rPr>
        <w:t xml:space="preserve">Please provide the name of your organisation/ </w:t>
      </w:r>
      <w:r w:rsidRPr="00D439B1">
        <w:rPr>
          <w:b/>
        </w:rPr>
        <w:t>If you would be happy to be contacted in the event of any follow-up questions, please</w:t>
      </w:r>
      <w:r w:rsidR="006C47CF">
        <w:rPr>
          <w:b/>
        </w:rPr>
        <w:t xml:space="preserve"> </w:t>
      </w:r>
      <w:r w:rsidRPr="00D439B1">
        <w:rPr>
          <w:b/>
        </w:rPr>
        <w:t>provide a contact name and email address.</w:t>
      </w:r>
    </w:p>
    <w:p w14:paraId="06F199C6" w14:textId="77777777" w:rsidR="006C47CF" w:rsidRPr="00507CA4" w:rsidRDefault="006C47CF" w:rsidP="006C47CF">
      <w:pPr>
        <w:autoSpaceDE w:val="0"/>
        <w:autoSpaceDN w:val="0"/>
        <w:adjustRightInd w:val="0"/>
        <w:spacing w:after="0" w:line="240" w:lineRule="auto"/>
        <w:rPr>
          <w:b/>
        </w:rPr>
      </w:pPr>
    </w:p>
    <w:p w14:paraId="2FC1264B" w14:textId="7B3D2B8E" w:rsidR="00866B15" w:rsidRDefault="00D439B1" w:rsidP="00087050">
      <w:pPr>
        <w:pStyle w:val="ListParagraph"/>
        <w:ind w:left="360"/>
      </w:pPr>
      <w:r w:rsidRPr="00026BA9">
        <w:rPr>
          <w:highlight w:val="yellow"/>
        </w:rPr>
        <w:t>Imper</w:t>
      </w:r>
      <w:r w:rsidR="00517FD8">
        <w:rPr>
          <w:highlight w:val="yellow"/>
        </w:rPr>
        <w:t>ial College London/ Andrew Peat</w:t>
      </w:r>
      <w:r w:rsidRPr="00026BA9">
        <w:rPr>
          <w:highlight w:val="yellow"/>
        </w:rPr>
        <w:t xml:space="preserve"> – a.peat@imperia</w:t>
      </w:r>
      <w:r w:rsidR="00517FD8">
        <w:rPr>
          <w:highlight w:val="yellow"/>
        </w:rPr>
        <w:t>l.ac.uk</w:t>
      </w:r>
    </w:p>
    <w:p w14:paraId="3F7453D4" w14:textId="77777777" w:rsidR="001E510D" w:rsidRDefault="001E510D" w:rsidP="00B7659B">
      <w:pPr>
        <w:pStyle w:val="ListParagraph"/>
        <w:spacing w:after="0"/>
        <w:ind w:left="360"/>
      </w:pPr>
    </w:p>
    <w:p w14:paraId="3FB19DFB" w14:textId="77777777" w:rsidR="006C47CF" w:rsidRDefault="003550A3" w:rsidP="004C1F5B">
      <w:pPr>
        <w:rPr>
          <w:b/>
        </w:rPr>
      </w:pPr>
      <w:r w:rsidRPr="00507CA4">
        <w:rPr>
          <w:b/>
        </w:rPr>
        <w:t xml:space="preserve">4. </w:t>
      </w:r>
      <w:r w:rsidR="00322409">
        <w:rPr>
          <w:b/>
        </w:rPr>
        <w:t>KEF purpose</w:t>
      </w:r>
    </w:p>
    <w:p w14:paraId="37686BF1" w14:textId="656DC87F" w:rsidR="003550A3" w:rsidRDefault="003F021D" w:rsidP="004C1F5B">
      <w:pPr>
        <w:rPr>
          <w:b/>
        </w:rPr>
      </w:pPr>
      <w:r w:rsidRPr="003F021D">
        <w:rPr>
          <w:b/>
        </w:rPr>
        <w:t>Do you consider that the KEF as outlined will fulfil its stated purposes?</w:t>
      </w:r>
      <w:r>
        <w:rPr>
          <w:b/>
        </w:rPr>
        <w:t xml:space="preserve"> </w:t>
      </w:r>
      <w:r w:rsidRPr="003F021D">
        <w:rPr>
          <w:b/>
        </w:rPr>
        <w:t>Please provide a commentary in relation to your scores above. (400</w:t>
      </w:r>
      <w:r>
        <w:rPr>
          <w:b/>
        </w:rPr>
        <w:t>-</w:t>
      </w:r>
      <w:r w:rsidRPr="003F021D">
        <w:rPr>
          <w:b/>
        </w:rPr>
        <w:t>word limit)</w:t>
      </w:r>
      <w:r>
        <w:rPr>
          <w:b/>
        </w:rPr>
        <w:t>.</w:t>
      </w:r>
    </w:p>
    <w:tbl>
      <w:tblPr>
        <w:tblStyle w:val="TableGrid"/>
        <w:tblW w:w="0" w:type="auto"/>
        <w:tblInd w:w="360" w:type="dxa"/>
        <w:tblLook w:val="04A0" w:firstRow="1" w:lastRow="0" w:firstColumn="1" w:lastColumn="0" w:noHBand="0" w:noVBand="1"/>
      </w:tblPr>
      <w:tblGrid>
        <w:gridCol w:w="2402"/>
        <w:gridCol w:w="917"/>
        <w:gridCol w:w="852"/>
        <w:gridCol w:w="1031"/>
        <w:gridCol w:w="997"/>
        <w:gridCol w:w="822"/>
        <w:gridCol w:w="843"/>
        <w:gridCol w:w="792"/>
      </w:tblGrid>
      <w:tr w:rsidR="003F021D" w14:paraId="553E7810" w14:textId="77777777" w:rsidTr="0065579A">
        <w:tc>
          <w:tcPr>
            <w:tcW w:w="2404" w:type="dxa"/>
          </w:tcPr>
          <w:p w14:paraId="3B3512A2" w14:textId="77777777" w:rsidR="003F021D" w:rsidRDefault="003F021D" w:rsidP="00825A20">
            <w:pPr>
              <w:pStyle w:val="ListParagraph"/>
              <w:ind w:left="0"/>
            </w:pPr>
            <w:bookmarkStart w:id="1" w:name="_Hlk534967238"/>
          </w:p>
        </w:tc>
        <w:tc>
          <w:tcPr>
            <w:tcW w:w="917" w:type="dxa"/>
          </w:tcPr>
          <w:p w14:paraId="7E189E19" w14:textId="1ECEE2D6" w:rsidR="003F021D" w:rsidRPr="003F021D" w:rsidRDefault="003F021D" w:rsidP="00825A20">
            <w:pPr>
              <w:pStyle w:val="ListParagraph"/>
              <w:ind w:left="0"/>
              <w:rPr>
                <w:sz w:val="18"/>
                <w:szCs w:val="18"/>
              </w:rPr>
            </w:pPr>
            <w:r w:rsidRPr="003F021D">
              <w:rPr>
                <w:sz w:val="18"/>
                <w:szCs w:val="18"/>
              </w:rPr>
              <w:t>Strongly disagree</w:t>
            </w:r>
          </w:p>
        </w:tc>
        <w:tc>
          <w:tcPr>
            <w:tcW w:w="850" w:type="dxa"/>
          </w:tcPr>
          <w:p w14:paraId="11762FB4" w14:textId="7990D734" w:rsidR="003F021D" w:rsidRPr="003F021D" w:rsidRDefault="003F021D" w:rsidP="00825A20">
            <w:pPr>
              <w:pStyle w:val="ListParagraph"/>
              <w:ind w:left="0"/>
              <w:rPr>
                <w:sz w:val="18"/>
                <w:szCs w:val="18"/>
              </w:rPr>
            </w:pPr>
            <w:r w:rsidRPr="003F021D">
              <w:rPr>
                <w:sz w:val="18"/>
                <w:szCs w:val="18"/>
              </w:rPr>
              <w:t>Disagree</w:t>
            </w:r>
          </w:p>
        </w:tc>
        <w:tc>
          <w:tcPr>
            <w:tcW w:w="1031" w:type="dxa"/>
          </w:tcPr>
          <w:p w14:paraId="7E10C15D" w14:textId="2BB2F330" w:rsidR="003F021D" w:rsidRPr="003F021D" w:rsidRDefault="003F021D" w:rsidP="00825A20">
            <w:pPr>
              <w:pStyle w:val="ListParagraph"/>
              <w:ind w:left="0"/>
              <w:rPr>
                <w:sz w:val="18"/>
                <w:szCs w:val="18"/>
              </w:rPr>
            </w:pPr>
            <w:r w:rsidRPr="003F021D">
              <w:rPr>
                <w:sz w:val="18"/>
                <w:szCs w:val="18"/>
              </w:rPr>
              <w:t>Somewhat disagree</w:t>
            </w:r>
          </w:p>
        </w:tc>
        <w:tc>
          <w:tcPr>
            <w:tcW w:w="997" w:type="dxa"/>
          </w:tcPr>
          <w:p w14:paraId="63D6F6BB" w14:textId="6EC4B5D9" w:rsidR="003F021D" w:rsidRPr="003F021D" w:rsidRDefault="003F021D" w:rsidP="00825A20">
            <w:pPr>
              <w:pStyle w:val="ListParagraph"/>
              <w:ind w:left="0"/>
              <w:rPr>
                <w:sz w:val="18"/>
                <w:szCs w:val="18"/>
              </w:rPr>
            </w:pPr>
            <w:r w:rsidRPr="003F021D">
              <w:rPr>
                <w:sz w:val="18"/>
                <w:szCs w:val="18"/>
              </w:rPr>
              <w:t>Somewhat agree</w:t>
            </w:r>
          </w:p>
        </w:tc>
        <w:tc>
          <w:tcPr>
            <w:tcW w:w="822" w:type="dxa"/>
          </w:tcPr>
          <w:p w14:paraId="48C45E24" w14:textId="668FF431" w:rsidR="003F021D" w:rsidRPr="003F021D" w:rsidRDefault="003F021D" w:rsidP="00825A20">
            <w:pPr>
              <w:pStyle w:val="ListParagraph"/>
              <w:ind w:left="0"/>
              <w:rPr>
                <w:sz w:val="18"/>
                <w:szCs w:val="18"/>
              </w:rPr>
            </w:pPr>
            <w:r w:rsidRPr="003F021D">
              <w:rPr>
                <w:sz w:val="18"/>
                <w:szCs w:val="18"/>
              </w:rPr>
              <w:t>Agree</w:t>
            </w:r>
          </w:p>
        </w:tc>
        <w:tc>
          <w:tcPr>
            <w:tcW w:w="843" w:type="dxa"/>
          </w:tcPr>
          <w:p w14:paraId="305C6EBC" w14:textId="5150B2C3" w:rsidR="003F021D" w:rsidRPr="003F021D" w:rsidRDefault="003F021D" w:rsidP="00825A20">
            <w:pPr>
              <w:pStyle w:val="ListParagraph"/>
              <w:ind w:left="0"/>
              <w:rPr>
                <w:sz w:val="18"/>
                <w:szCs w:val="18"/>
              </w:rPr>
            </w:pPr>
            <w:r w:rsidRPr="003F021D">
              <w:rPr>
                <w:sz w:val="18"/>
                <w:szCs w:val="18"/>
              </w:rPr>
              <w:t>Strongly agree</w:t>
            </w:r>
          </w:p>
        </w:tc>
        <w:tc>
          <w:tcPr>
            <w:tcW w:w="792" w:type="dxa"/>
          </w:tcPr>
          <w:p w14:paraId="6510EC19" w14:textId="50B52A95" w:rsidR="003F021D" w:rsidRPr="003F021D" w:rsidRDefault="003F021D" w:rsidP="00825A20">
            <w:pPr>
              <w:pStyle w:val="ListParagraph"/>
              <w:ind w:left="0"/>
              <w:rPr>
                <w:sz w:val="18"/>
                <w:szCs w:val="18"/>
              </w:rPr>
            </w:pPr>
            <w:r w:rsidRPr="003F021D">
              <w:rPr>
                <w:sz w:val="18"/>
                <w:szCs w:val="18"/>
              </w:rPr>
              <w:t>No opinion</w:t>
            </w:r>
          </w:p>
        </w:tc>
      </w:tr>
      <w:tr w:rsidR="003F021D" w14:paraId="64CB86E0" w14:textId="77777777" w:rsidTr="0065579A">
        <w:tc>
          <w:tcPr>
            <w:tcW w:w="2404" w:type="dxa"/>
          </w:tcPr>
          <w:p w14:paraId="5890D6C0" w14:textId="20F73EE3" w:rsidR="003F021D" w:rsidRDefault="003F021D" w:rsidP="00825A20">
            <w:pPr>
              <w:pStyle w:val="ListParagraph"/>
              <w:ind w:left="0"/>
            </w:pPr>
            <w:r>
              <w:t>To provide universities with new tools to understand, benchmark and improve their performance</w:t>
            </w:r>
          </w:p>
        </w:tc>
        <w:tc>
          <w:tcPr>
            <w:tcW w:w="917" w:type="dxa"/>
          </w:tcPr>
          <w:p w14:paraId="478B74E4" w14:textId="77777777" w:rsidR="003F021D" w:rsidRPr="00EF5041" w:rsidRDefault="003F021D" w:rsidP="00825A20">
            <w:pPr>
              <w:pStyle w:val="ListParagraph"/>
              <w:ind w:left="0"/>
              <w:rPr>
                <w:highlight w:val="yellow"/>
              </w:rPr>
            </w:pPr>
          </w:p>
        </w:tc>
        <w:tc>
          <w:tcPr>
            <w:tcW w:w="850" w:type="dxa"/>
          </w:tcPr>
          <w:p w14:paraId="4C10334E" w14:textId="77777777" w:rsidR="003F021D" w:rsidRPr="00EF5041" w:rsidRDefault="003F021D" w:rsidP="00825A20">
            <w:pPr>
              <w:pStyle w:val="ListParagraph"/>
              <w:ind w:left="0"/>
              <w:rPr>
                <w:highlight w:val="yellow"/>
              </w:rPr>
            </w:pPr>
          </w:p>
        </w:tc>
        <w:tc>
          <w:tcPr>
            <w:tcW w:w="1031" w:type="dxa"/>
          </w:tcPr>
          <w:p w14:paraId="248D276E" w14:textId="78B4F7B0" w:rsidR="003F021D" w:rsidRPr="00EF5041" w:rsidRDefault="008B3650" w:rsidP="00825A20">
            <w:pPr>
              <w:pStyle w:val="ListParagraph"/>
              <w:ind w:left="0"/>
              <w:rPr>
                <w:highlight w:val="yellow"/>
              </w:rPr>
            </w:pPr>
            <w:r w:rsidRPr="00EF5041">
              <w:rPr>
                <w:highlight w:val="yellow"/>
              </w:rPr>
              <w:t>Yes</w:t>
            </w:r>
          </w:p>
        </w:tc>
        <w:tc>
          <w:tcPr>
            <w:tcW w:w="997" w:type="dxa"/>
          </w:tcPr>
          <w:p w14:paraId="562E769C" w14:textId="77777777" w:rsidR="003F021D" w:rsidRPr="00EF5041" w:rsidRDefault="003F021D" w:rsidP="00825A20">
            <w:pPr>
              <w:pStyle w:val="ListParagraph"/>
              <w:ind w:left="0"/>
              <w:rPr>
                <w:highlight w:val="yellow"/>
              </w:rPr>
            </w:pPr>
          </w:p>
        </w:tc>
        <w:tc>
          <w:tcPr>
            <w:tcW w:w="822" w:type="dxa"/>
          </w:tcPr>
          <w:p w14:paraId="4F891BBB" w14:textId="77777777" w:rsidR="003F021D" w:rsidRPr="00EF5041" w:rsidRDefault="003F021D" w:rsidP="00825A20">
            <w:pPr>
              <w:pStyle w:val="ListParagraph"/>
              <w:ind w:left="0"/>
              <w:rPr>
                <w:highlight w:val="yellow"/>
              </w:rPr>
            </w:pPr>
          </w:p>
        </w:tc>
        <w:tc>
          <w:tcPr>
            <w:tcW w:w="843" w:type="dxa"/>
          </w:tcPr>
          <w:p w14:paraId="59F9C5B3" w14:textId="77777777" w:rsidR="003F021D" w:rsidRPr="00EF5041" w:rsidRDefault="003F021D" w:rsidP="00825A20">
            <w:pPr>
              <w:pStyle w:val="ListParagraph"/>
              <w:ind w:left="0"/>
              <w:rPr>
                <w:highlight w:val="yellow"/>
              </w:rPr>
            </w:pPr>
          </w:p>
        </w:tc>
        <w:tc>
          <w:tcPr>
            <w:tcW w:w="792" w:type="dxa"/>
          </w:tcPr>
          <w:p w14:paraId="5E224C07" w14:textId="77777777" w:rsidR="003F021D" w:rsidRPr="00EF5041" w:rsidRDefault="003F021D" w:rsidP="00825A20">
            <w:pPr>
              <w:pStyle w:val="ListParagraph"/>
              <w:ind w:left="0"/>
              <w:rPr>
                <w:highlight w:val="yellow"/>
              </w:rPr>
            </w:pPr>
          </w:p>
        </w:tc>
      </w:tr>
      <w:tr w:rsidR="003F021D" w14:paraId="5335DB35" w14:textId="77777777" w:rsidTr="0065579A">
        <w:tc>
          <w:tcPr>
            <w:tcW w:w="2404" w:type="dxa"/>
          </w:tcPr>
          <w:p w14:paraId="6F023383" w14:textId="2545AE2D" w:rsidR="003F021D" w:rsidRDefault="003F021D" w:rsidP="00825A20">
            <w:pPr>
              <w:pStyle w:val="ListParagraph"/>
              <w:ind w:left="0"/>
            </w:pPr>
            <w:r>
              <w:t>To provide businesses and other users with more information on universities</w:t>
            </w:r>
          </w:p>
        </w:tc>
        <w:tc>
          <w:tcPr>
            <w:tcW w:w="917" w:type="dxa"/>
          </w:tcPr>
          <w:p w14:paraId="427F1742" w14:textId="77777777" w:rsidR="003F021D" w:rsidRPr="00EF5041" w:rsidRDefault="003F021D" w:rsidP="00825A20">
            <w:pPr>
              <w:pStyle w:val="ListParagraph"/>
              <w:ind w:left="0"/>
              <w:rPr>
                <w:highlight w:val="yellow"/>
              </w:rPr>
            </w:pPr>
          </w:p>
        </w:tc>
        <w:tc>
          <w:tcPr>
            <w:tcW w:w="850" w:type="dxa"/>
          </w:tcPr>
          <w:p w14:paraId="20AC23C2" w14:textId="77777777" w:rsidR="003F021D" w:rsidRPr="00EF5041" w:rsidRDefault="003F021D" w:rsidP="00825A20">
            <w:pPr>
              <w:pStyle w:val="ListParagraph"/>
              <w:ind w:left="0"/>
              <w:rPr>
                <w:highlight w:val="yellow"/>
              </w:rPr>
            </w:pPr>
          </w:p>
        </w:tc>
        <w:tc>
          <w:tcPr>
            <w:tcW w:w="1031" w:type="dxa"/>
          </w:tcPr>
          <w:p w14:paraId="06E488B8" w14:textId="639F97E3" w:rsidR="003F021D" w:rsidRPr="00EF5041" w:rsidRDefault="008B3650" w:rsidP="00825A20">
            <w:pPr>
              <w:pStyle w:val="ListParagraph"/>
              <w:ind w:left="0"/>
              <w:rPr>
                <w:highlight w:val="yellow"/>
              </w:rPr>
            </w:pPr>
            <w:r w:rsidRPr="00EF5041">
              <w:rPr>
                <w:highlight w:val="yellow"/>
              </w:rPr>
              <w:t xml:space="preserve">Yes </w:t>
            </w:r>
          </w:p>
        </w:tc>
        <w:tc>
          <w:tcPr>
            <w:tcW w:w="997" w:type="dxa"/>
          </w:tcPr>
          <w:p w14:paraId="085DBA03" w14:textId="77777777" w:rsidR="003F021D" w:rsidRPr="00EF5041" w:rsidRDefault="003F021D" w:rsidP="00825A20">
            <w:pPr>
              <w:pStyle w:val="ListParagraph"/>
              <w:ind w:left="0"/>
              <w:rPr>
                <w:highlight w:val="yellow"/>
              </w:rPr>
            </w:pPr>
          </w:p>
        </w:tc>
        <w:tc>
          <w:tcPr>
            <w:tcW w:w="822" w:type="dxa"/>
          </w:tcPr>
          <w:p w14:paraId="0EB5BD4A" w14:textId="77777777" w:rsidR="003F021D" w:rsidRPr="00EF5041" w:rsidRDefault="003F021D" w:rsidP="00825A20">
            <w:pPr>
              <w:pStyle w:val="ListParagraph"/>
              <w:ind w:left="0"/>
              <w:rPr>
                <w:highlight w:val="yellow"/>
              </w:rPr>
            </w:pPr>
          </w:p>
        </w:tc>
        <w:tc>
          <w:tcPr>
            <w:tcW w:w="843" w:type="dxa"/>
          </w:tcPr>
          <w:p w14:paraId="6D2B7C33" w14:textId="77777777" w:rsidR="003F021D" w:rsidRPr="00EF5041" w:rsidRDefault="003F021D" w:rsidP="00825A20">
            <w:pPr>
              <w:pStyle w:val="ListParagraph"/>
              <w:ind w:left="0"/>
              <w:rPr>
                <w:highlight w:val="yellow"/>
              </w:rPr>
            </w:pPr>
          </w:p>
        </w:tc>
        <w:tc>
          <w:tcPr>
            <w:tcW w:w="792" w:type="dxa"/>
          </w:tcPr>
          <w:p w14:paraId="384892D6" w14:textId="77777777" w:rsidR="003F021D" w:rsidRPr="00EF5041" w:rsidRDefault="003F021D" w:rsidP="00825A20">
            <w:pPr>
              <w:pStyle w:val="ListParagraph"/>
              <w:ind w:left="0"/>
              <w:rPr>
                <w:highlight w:val="yellow"/>
              </w:rPr>
            </w:pPr>
          </w:p>
        </w:tc>
      </w:tr>
      <w:tr w:rsidR="003F021D" w14:paraId="7BD66673" w14:textId="77777777" w:rsidTr="0065579A">
        <w:tc>
          <w:tcPr>
            <w:tcW w:w="2404" w:type="dxa"/>
          </w:tcPr>
          <w:p w14:paraId="54275453" w14:textId="3A3B2858" w:rsidR="003F021D" w:rsidRDefault="003F021D" w:rsidP="00825A20">
            <w:pPr>
              <w:pStyle w:val="ListParagraph"/>
              <w:ind w:left="0"/>
            </w:pPr>
            <w:r>
              <w:t>To provide greater public visibility and accountability</w:t>
            </w:r>
          </w:p>
        </w:tc>
        <w:tc>
          <w:tcPr>
            <w:tcW w:w="917" w:type="dxa"/>
          </w:tcPr>
          <w:p w14:paraId="03DAC65A" w14:textId="77777777" w:rsidR="003F021D" w:rsidRPr="00EF5041" w:rsidRDefault="003F021D" w:rsidP="00825A20">
            <w:pPr>
              <w:pStyle w:val="ListParagraph"/>
              <w:ind w:left="0"/>
              <w:rPr>
                <w:highlight w:val="yellow"/>
              </w:rPr>
            </w:pPr>
          </w:p>
        </w:tc>
        <w:tc>
          <w:tcPr>
            <w:tcW w:w="850" w:type="dxa"/>
          </w:tcPr>
          <w:p w14:paraId="7AF82822" w14:textId="77777777" w:rsidR="003F021D" w:rsidRPr="00EF5041" w:rsidRDefault="003F021D" w:rsidP="00825A20">
            <w:pPr>
              <w:pStyle w:val="ListParagraph"/>
              <w:ind w:left="0"/>
              <w:rPr>
                <w:highlight w:val="yellow"/>
              </w:rPr>
            </w:pPr>
          </w:p>
        </w:tc>
        <w:tc>
          <w:tcPr>
            <w:tcW w:w="1031" w:type="dxa"/>
          </w:tcPr>
          <w:p w14:paraId="1D289E75" w14:textId="27C90EAB" w:rsidR="003F021D" w:rsidRPr="00EF5041" w:rsidRDefault="008B3650" w:rsidP="00825A20">
            <w:pPr>
              <w:pStyle w:val="ListParagraph"/>
              <w:ind w:left="0"/>
              <w:rPr>
                <w:highlight w:val="yellow"/>
              </w:rPr>
            </w:pPr>
            <w:r w:rsidRPr="00EF5041">
              <w:rPr>
                <w:highlight w:val="yellow"/>
              </w:rPr>
              <w:t>Yes</w:t>
            </w:r>
          </w:p>
        </w:tc>
        <w:tc>
          <w:tcPr>
            <w:tcW w:w="997" w:type="dxa"/>
          </w:tcPr>
          <w:p w14:paraId="3A53BCF4" w14:textId="77777777" w:rsidR="003F021D" w:rsidRPr="00EF5041" w:rsidRDefault="003F021D" w:rsidP="00825A20">
            <w:pPr>
              <w:pStyle w:val="ListParagraph"/>
              <w:ind w:left="0"/>
              <w:rPr>
                <w:highlight w:val="yellow"/>
              </w:rPr>
            </w:pPr>
          </w:p>
        </w:tc>
        <w:tc>
          <w:tcPr>
            <w:tcW w:w="822" w:type="dxa"/>
          </w:tcPr>
          <w:p w14:paraId="3984BD4D" w14:textId="77777777" w:rsidR="003F021D" w:rsidRPr="00EF5041" w:rsidRDefault="003F021D" w:rsidP="00825A20">
            <w:pPr>
              <w:pStyle w:val="ListParagraph"/>
              <w:ind w:left="0"/>
              <w:rPr>
                <w:highlight w:val="yellow"/>
              </w:rPr>
            </w:pPr>
          </w:p>
        </w:tc>
        <w:tc>
          <w:tcPr>
            <w:tcW w:w="843" w:type="dxa"/>
          </w:tcPr>
          <w:p w14:paraId="345EF296" w14:textId="77777777" w:rsidR="003F021D" w:rsidRPr="00EF5041" w:rsidRDefault="003F021D" w:rsidP="00825A20">
            <w:pPr>
              <w:pStyle w:val="ListParagraph"/>
              <w:ind w:left="0"/>
              <w:rPr>
                <w:highlight w:val="yellow"/>
              </w:rPr>
            </w:pPr>
          </w:p>
        </w:tc>
        <w:tc>
          <w:tcPr>
            <w:tcW w:w="792" w:type="dxa"/>
          </w:tcPr>
          <w:p w14:paraId="398D4680" w14:textId="77777777" w:rsidR="003F021D" w:rsidRPr="00EF5041" w:rsidRDefault="003F021D" w:rsidP="00825A20">
            <w:pPr>
              <w:pStyle w:val="ListParagraph"/>
              <w:ind w:left="0"/>
              <w:rPr>
                <w:highlight w:val="yellow"/>
              </w:rPr>
            </w:pPr>
          </w:p>
        </w:tc>
      </w:tr>
      <w:bookmarkEnd w:id="1"/>
    </w:tbl>
    <w:p w14:paraId="2BFCC3FE" w14:textId="77777777" w:rsidR="003F021D" w:rsidRDefault="003F021D" w:rsidP="00825A20">
      <w:pPr>
        <w:pStyle w:val="ListParagraph"/>
        <w:ind w:left="360"/>
      </w:pPr>
    </w:p>
    <w:p w14:paraId="1EFFAF90" w14:textId="1C34F669" w:rsidR="00825A20" w:rsidRDefault="008B3650" w:rsidP="00825A20">
      <w:pPr>
        <w:pStyle w:val="ListParagraph"/>
        <w:ind w:left="360"/>
      </w:pPr>
      <w:r w:rsidRPr="00026BA9">
        <w:rPr>
          <w:highlight w:val="yellow"/>
        </w:rPr>
        <w:t xml:space="preserve">The College believes that the KEF will not completely fulfil its stated purpose in the three areas stated above. </w:t>
      </w:r>
      <w:r w:rsidR="004C38E2" w:rsidRPr="00026BA9">
        <w:rPr>
          <w:highlight w:val="yellow"/>
        </w:rPr>
        <w:t>In order to provide institutions ‘with more tools to understand themselves’ more information would be required than currently exists</w:t>
      </w:r>
      <w:r w:rsidR="00626911">
        <w:rPr>
          <w:highlight w:val="yellow"/>
        </w:rPr>
        <w:t>, but</w:t>
      </w:r>
      <w:r w:rsidR="003108D5">
        <w:rPr>
          <w:highlight w:val="yellow"/>
        </w:rPr>
        <w:t xml:space="preserve"> </w:t>
      </w:r>
      <w:r w:rsidR="00626911">
        <w:rPr>
          <w:highlight w:val="yellow"/>
        </w:rPr>
        <w:t>t</w:t>
      </w:r>
      <w:r w:rsidR="004C38E2" w:rsidRPr="00026BA9">
        <w:rPr>
          <w:highlight w:val="yellow"/>
        </w:rPr>
        <w:t>h</w:t>
      </w:r>
      <w:r w:rsidR="00626911">
        <w:rPr>
          <w:highlight w:val="yellow"/>
        </w:rPr>
        <w:t>e KEF outlined</w:t>
      </w:r>
      <w:r w:rsidR="004C38E2" w:rsidRPr="00026BA9">
        <w:rPr>
          <w:highlight w:val="yellow"/>
        </w:rPr>
        <w:t xml:space="preserve"> is largely based on HE-BCI metrics which are already available. The College believes that narrative statements in each </w:t>
      </w:r>
      <w:r w:rsidR="00F77152">
        <w:rPr>
          <w:highlight w:val="yellow"/>
        </w:rPr>
        <w:t>aspect of the KEF</w:t>
      </w:r>
      <w:r w:rsidR="004C38E2" w:rsidRPr="00026BA9">
        <w:rPr>
          <w:highlight w:val="yellow"/>
        </w:rPr>
        <w:t xml:space="preserve"> would be more useful, but these have been reduced in number in order to reduce the burden, </w:t>
      </w:r>
      <w:r w:rsidR="00F77152">
        <w:rPr>
          <w:highlight w:val="yellow"/>
        </w:rPr>
        <w:t xml:space="preserve">(whilst making </w:t>
      </w:r>
      <w:r w:rsidR="004C38E2" w:rsidRPr="00026BA9">
        <w:rPr>
          <w:highlight w:val="yellow"/>
        </w:rPr>
        <w:t>the KEF an annual exercise</w:t>
      </w:r>
      <w:r w:rsidR="00F77152">
        <w:rPr>
          <w:highlight w:val="yellow"/>
        </w:rPr>
        <w:t>)</w:t>
      </w:r>
      <w:r w:rsidR="004C38E2" w:rsidRPr="00026BA9">
        <w:rPr>
          <w:highlight w:val="yellow"/>
        </w:rPr>
        <w:t>. The College</w:t>
      </w:r>
      <w:r w:rsidR="00F77152">
        <w:rPr>
          <w:highlight w:val="yellow"/>
        </w:rPr>
        <w:t xml:space="preserve"> considers that a KEF which included more narrative elements, but which took place more often, would provide greater added value</w:t>
      </w:r>
      <w:r w:rsidR="00935462">
        <w:rPr>
          <w:highlight w:val="yellow"/>
        </w:rPr>
        <w:t xml:space="preserve"> over and above the existing HE-</w:t>
      </w:r>
      <w:r w:rsidR="00F77152">
        <w:rPr>
          <w:highlight w:val="yellow"/>
        </w:rPr>
        <w:t xml:space="preserve">BCI. </w:t>
      </w:r>
      <w:r w:rsidR="004C38E2" w:rsidRPr="00026BA9">
        <w:rPr>
          <w:highlight w:val="yellow"/>
        </w:rPr>
        <w:t xml:space="preserve"> </w:t>
      </w:r>
    </w:p>
    <w:p w14:paraId="7E4370AC" w14:textId="7C468512" w:rsidR="00B6632C" w:rsidRDefault="00B6632C" w:rsidP="00825A20">
      <w:pPr>
        <w:pStyle w:val="ListParagraph"/>
        <w:ind w:left="360"/>
      </w:pPr>
    </w:p>
    <w:p w14:paraId="386BF6DB" w14:textId="248FB6DE" w:rsidR="00B6632C" w:rsidRPr="00825A20" w:rsidRDefault="00B6632C" w:rsidP="00825A20">
      <w:pPr>
        <w:pStyle w:val="ListParagraph"/>
        <w:ind w:left="360"/>
      </w:pPr>
      <w:r w:rsidRPr="00B6632C">
        <w:rPr>
          <w:highlight w:val="yellow"/>
        </w:rPr>
        <w:t xml:space="preserve">Many of the metrics </w:t>
      </w:r>
      <w:r w:rsidR="00F77152">
        <w:rPr>
          <w:highlight w:val="yellow"/>
        </w:rPr>
        <w:t>presented are</w:t>
      </w:r>
      <w:r w:rsidRPr="00B6632C">
        <w:rPr>
          <w:highlight w:val="yellow"/>
        </w:rPr>
        <w:t xml:space="preserve"> normalised by research income. The College believes that with the use of clustering to ensure institutions of a similar size, structure and KE potential are </w:t>
      </w:r>
      <w:r w:rsidRPr="00B6632C">
        <w:rPr>
          <w:highlight w:val="yellow"/>
        </w:rPr>
        <w:lastRenderedPageBreak/>
        <w:t xml:space="preserve">grouped together, the case for normalisation diminishes. Feedback from business suggests that </w:t>
      </w:r>
      <w:r w:rsidR="00F77152">
        <w:rPr>
          <w:highlight w:val="yellow"/>
        </w:rPr>
        <w:t>normalisation</w:t>
      </w:r>
      <w:r w:rsidRPr="00B6632C">
        <w:rPr>
          <w:highlight w:val="yellow"/>
        </w:rPr>
        <w:t xml:space="preserve"> adds little value to their choice of collaborators and that they especially value “large research universities with a broad span of excellence ... because partnerships can evolve over time to engage new research disciplines and combinations of discipline without the cost and risk of building new relationships</w:t>
      </w:r>
      <w:r>
        <w:rPr>
          <w:highlight w:val="yellow"/>
        </w:rPr>
        <w:t xml:space="preserve"> with new university partners”.</w:t>
      </w:r>
      <w:r w:rsidRPr="00B6632C">
        <w:rPr>
          <w:highlight w:val="yellow"/>
        </w:rPr>
        <w:t xml:space="preserve"> They want to know the scale of activity within an institution in order to gauge if a potential partner has the capacity to take on c</w:t>
      </w:r>
      <w:r>
        <w:rPr>
          <w:highlight w:val="yellow"/>
        </w:rPr>
        <w:t>ertain types of new KE activity</w:t>
      </w:r>
      <w:r w:rsidRPr="00B6632C">
        <w:rPr>
          <w:highlight w:val="yellow"/>
        </w:rPr>
        <w:t>. Given that business has been identified as one of the main audience</w:t>
      </w:r>
      <w:r>
        <w:rPr>
          <w:highlight w:val="yellow"/>
        </w:rPr>
        <w:t>s of the KEF, we would suggest</w:t>
      </w:r>
      <w:r w:rsidRPr="00B6632C">
        <w:rPr>
          <w:highlight w:val="yellow"/>
        </w:rPr>
        <w:t xml:space="preserve"> at least some of the data to be presented as absolute values.</w:t>
      </w:r>
    </w:p>
    <w:p w14:paraId="24CA2953" w14:textId="3D4F2B78" w:rsidR="006C47CF" w:rsidRDefault="003550A3" w:rsidP="005827A0">
      <w:pPr>
        <w:rPr>
          <w:b/>
        </w:rPr>
      </w:pPr>
      <w:r w:rsidRPr="00507CA4">
        <w:rPr>
          <w:b/>
        </w:rPr>
        <w:t xml:space="preserve">5. </w:t>
      </w:r>
      <w:r w:rsidR="00072AEC">
        <w:rPr>
          <w:b/>
        </w:rPr>
        <w:t>Aims and overall approach of the Knowledge Exchange Framework (KEF)</w:t>
      </w:r>
    </w:p>
    <w:p w14:paraId="69CB0AE6" w14:textId="77777777" w:rsidR="006C47CF" w:rsidRDefault="006C47CF" w:rsidP="00072AEC">
      <w:pPr>
        <w:spacing w:after="0"/>
        <w:rPr>
          <w:b/>
        </w:rPr>
      </w:pPr>
    </w:p>
    <w:p w14:paraId="2AFB297D" w14:textId="7AA01177" w:rsidR="00E74DC0" w:rsidRDefault="00072AEC" w:rsidP="00072AEC">
      <w:pPr>
        <w:spacing w:after="0"/>
        <w:rPr>
          <w:b/>
        </w:rPr>
      </w:pPr>
      <w:r w:rsidRPr="00072AEC">
        <w:rPr>
          <w:b/>
        </w:rPr>
        <w:t>The KEF consultation document describes the overall approach as being an annual, institutional</w:t>
      </w:r>
      <w:r>
        <w:rPr>
          <w:b/>
        </w:rPr>
        <w:t xml:space="preserve"> </w:t>
      </w:r>
      <w:r w:rsidRPr="00072AEC">
        <w:rPr>
          <w:b/>
        </w:rPr>
        <w:t>level, largely metrics driven exercise, although noting that narrative will have an important role.</w:t>
      </w:r>
      <w:r>
        <w:rPr>
          <w:b/>
        </w:rPr>
        <w:t xml:space="preserve"> </w:t>
      </w:r>
      <w:r w:rsidRPr="00072AEC">
        <w:rPr>
          <w:b/>
        </w:rPr>
        <w:t>More background may be found in the report summarising the recommendations of the technical</w:t>
      </w:r>
      <w:r>
        <w:rPr>
          <w:b/>
        </w:rPr>
        <w:t xml:space="preserve"> </w:t>
      </w:r>
      <w:r w:rsidRPr="00072AEC">
        <w:rPr>
          <w:b/>
        </w:rPr>
        <w:t>advisory group. Do you consider this overall approach to be appropriate?</w:t>
      </w:r>
      <w:r>
        <w:rPr>
          <w:b/>
        </w:rPr>
        <w:t xml:space="preserve"> </w:t>
      </w:r>
      <w:r w:rsidRPr="00072AEC">
        <w:rPr>
          <w:b/>
        </w:rPr>
        <w:t>Please provide a commentary in relation to your scores above. (400</w:t>
      </w:r>
      <w:r>
        <w:rPr>
          <w:b/>
        </w:rPr>
        <w:t>-</w:t>
      </w:r>
      <w:r w:rsidRPr="00072AEC">
        <w:rPr>
          <w:b/>
        </w:rPr>
        <w:t>word limit)</w:t>
      </w:r>
    </w:p>
    <w:p w14:paraId="5EB3A058" w14:textId="77777777" w:rsidR="00072AEC" w:rsidRDefault="00072AEC" w:rsidP="004051E7">
      <w:pPr>
        <w:pStyle w:val="ListParagraph"/>
        <w:ind w:left="360"/>
      </w:pPr>
    </w:p>
    <w:p w14:paraId="0D8244CF" w14:textId="77777777" w:rsidR="00072AEC" w:rsidRDefault="00072AEC" w:rsidP="004051E7">
      <w:pPr>
        <w:pStyle w:val="ListParagraph"/>
        <w:ind w:left="360"/>
      </w:pPr>
      <w:r w:rsidRPr="00072AEC">
        <w:t>Strongly disagre</w:t>
      </w:r>
      <w:r>
        <w:t>e</w:t>
      </w:r>
    </w:p>
    <w:p w14:paraId="273FB0F6" w14:textId="77777777" w:rsidR="00072AEC" w:rsidRDefault="00072AEC" w:rsidP="004051E7">
      <w:pPr>
        <w:pStyle w:val="ListParagraph"/>
        <w:ind w:left="360"/>
      </w:pPr>
      <w:r w:rsidRPr="00072AEC">
        <w:t>Disagree</w:t>
      </w:r>
    </w:p>
    <w:p w14:paraId="1E3EEF93" w14:textId="78F266EB" w:rsidR="00072AEC" w:rsidRDefault="00072AEC" w:rsidP="004051E7">
      <w:pPr>
        <w:pStyle w:val="ListParagraph"/>
        <w:ind w:left="360"/>
      </w:pPr>
      <w:r w:rsidRPr="00072AEC">
        <w:t>Somewhat disagree</w:t>
      </w:r>
    </w:p>
    <w:p w14:paraId="08D42309" w14:textId="77777777" w:rsidR="00072AEC" w:rsidRDefault="00072AEC" w:rsidP="004051E7">
      <w:pPr>
        <w:pStyle w:val="ListParagraph"/>
        <w:ind w:left="360"/>
      </w:pPr>
      <w:r w:rsidRPr="00F77152">
        <w:rPr>
          <w:highlight w:val="yellow"/>
        </w:rPr>
        <w:t>Somewhat agree</w:t>
      </w:r>
    </w:p>
    <w:p w14:paraId="07471382" w14:textId="77777777" w:rsidR="00072AEC" w:rsidRDefault="00072AEC" w:rsidP="004051E7">
      <w:pPr>
        <w:pStyle w:val="ListParagraph"/>
        <w:ind w:left="360"/>
      </w:pPr>
      <w:r w:rsidRPr="00F77152">
        <w:t>Agree</w:t>
      </w:r>
    </w:p>
    <w:p w14:paraId="58340B83" w14:textId="77777777" w:rsidR="00072AEC" w:rsidRDefault="00072AEC" w:rsidP="004051E7">
      <w:pPr>
        <w:pStyle w:val="ListParagraph"/>
        <w:ind w:left="360"/>
      </w:pPr>
      <w:r w:rsidRPr="003B3245">
        <w:t>Strongly agree</w:t>
      </w:r>
    </w:p>
    <w:p w14:paraId="657C55ED" w14:textId="64D05FC1" w:rsidR="00942C5D" w:rsidRDefault="00072AEC" w:rsidP="004051E7">
      <w:pPr>
        <w:pStyle w:val="ListParagraph"/>
        <w:ind w:left="360"/>
      </w:pPr>
      <w:r w:rsidRPr="00072AEC">
        <w:t>No opinion</w:t>
      </w:r>
    </w:p>
    <w:p w14:paraId="28F65B16" w14:textId="0E112B05" w:rsidR="00072AEC" w:rsidRDefault="00072AEC" w:rsidP="004051E7">
      <w:pPr>
        <w:pStyle w:val="ListParagraph"/>
        <w:ind w:left="360"/>
      </w:pPr>
    </w:p>
    <w:p w14:paraId="1225BC4C" w14:textId="49D9EC04" w:rsidR="00F77152" w:rsidRDefault="00A74E98" w:rsidP="00A74E98">
      <w:pPr>
        <w:pStyle w:val="ListParagraph"/>
        <w:ind w:left="360"/>
        <w:rPr>
          <w:highlight w:val="yellow"/>
        </w:rPr>
      </w:pPr>
      <w:r w:rsidRPr="00EF5041">
        <w:rPr>
          <w:highlight w:val="yellow"/>
        </w:rPr>
        <w:t>If the KEF is informed by data that is already being collected annually via HE-BCI, there would be no objection to this being an annual exercise</w:t>
      </w:r>
      <w:r w:rsidR="00713D75" w:rsidRPr="00EF5041">
        <w:rPr>
          <w:highlight w:val="yellow"/>
        </w:rPr>
        <w:t>.</w:t>
      </w:r>
      <w:r w:rsidRPr="00EF5041">
        <w:rPr>
          <w:highlight w:val="yellow"/>
        </w:rPr>
        <w:t xml:space="preserve"> </w:t>
      </w:r>
      <w:r w:rsidR="00F77152">
        <w:rPr>
          <w:highlight w:val="yellow"/>
        </w:rPr>
        <w:t>However, t</w:t>
      </w:r>
      <w:r w:rsidRPr="00EF5041">
        <w:rPr>
          <w:highlight w:val="yellow"/>
        </w:rPr>
        <w:t xml:space="preserve">he </w:t>
      </w:r>
      <w:r w:rsidR="00713D75" w:rsidRPr="00EF5041">
        <w:rPr>
          <w:highlight w:val="yellow"/>
        </w:rPr>
        <w:t xml:space="preserve">College </w:t>
      </w:r>
      <w:r w:rsidR="00F77152">
        <w:rPr>
          <w:highlight w:val="yellow"/>
        </w:rPr>
        <w:t>considers that</w:t>
      </w:r>
      <w:r w:rsidR="00713D75" w:rsidRPr="00EF5041">
        <w:rPr>
          <w:highlight w:val="yellow"/>
        </w:rPr>
        <w:t xml:space="preserve"> </w:t>
      </w:r>
      <w:r w:rsidRPr="00EF5041">
        <w:rPr>
          <w:highlight w:val="yellow"/>
        </w:rPr>
        <w:t xml:space="preserve">narrative statements </w:t>
      </w:r>
      <w:r w:rsidR="00713D75" w:rsidRPr="00EF5041">
        <w:rPr>
          <w:highlight w:val="yellow"/>
        </w:rPr>
        <w:t>are an</w:t>
      </w:r>
      <w:r w:rsidR="00F77152">
        <w:rPr>
          <w:highlight w:val="yellow"/>
        </w:rPr>
        <w:t xml:space="preserve"> important part of the exercise that have the potential to add value over and above the metrics, and that serious consideration should be given to making the KEF less frequent in order to enable a greater focus on the narrative elements without increasing overall burden.</w:t>
      </w:r>
    </w:p>
    <w:p w14:paraId="644E242E" w14:textId="77777777" w:rsidR="00F77152" w:rsidRDefault="00F77152" w:rsidP="00A74E98">
      <w:pPr>
        <w:pStyle w:val="ListParagraph"/>
        <w:ind w:left="360"/>
        <w:rPr>
          <w:highlight w:val="yellow"/>
        </w:rPr>
      </w:pPr>
    </w:p>
    <w:p w14:paraId="076B0518" w14:textId="77777777" w:rsidR="006C47CF" w:rsidRDefault="0065579A" w:rsidP="00072AEC">
      <w:pPr>
        <w:spacing w:after="0"/>
        <w:rPr>
          <w:b/>
        </w:rPr>
      </w:pPr>
      <w:r>
        <w:rPr>
          <w:b/>
        </w:rPr>
        <w:t>6</w:t>
      </w:r>
      <w:r w:rsidRPr="00507CA4">
        <w:rPr>
          <w:b/>
        </w:rPr>
        <w:t xml:space="preserve">. </w:t>
      </w:r>
      <w:r w:rsidR="00072AEC">
        <w:rPr>
          <w:b/>
        </w:rPr>
        <w:t>Clustering</w:t>
      </w:r>
    </w:p>
    <w:p w14:paraId="6CBAB06D" w14:textId="77777777" w:rsidR="006C47CF" w:rsidRDefault="006C47CF" w:rsidP="00072AEC">
      <w:pPr>
        <w:spacing w:after="0"/>
        <w:rPr>
          <w:b/>
        </w:rPr>
      </w:pPr>
    </w:p>
    <w:p w14:paraId="577D285B" w14:textId="77777777" w:rsidR="00F77FDB" w:rsidRDefault="00072AEC" w:rsidP="00072AEC">
      <w:pPr>
        <w:spacing w:after="0"/>
        <w:rPr>
          <w:b/>
        </w:rPr>
      </w:pPr>
      <w:r w:rsidRPr="00072AEC">
        <w:rPr>
          <w:b/>
        </w:rPr>
        <w:t>The English higher education sector is very diverse. We therefore propose to create clusters of</w:t>
      </w:r>
      <w:r>
        <w:rPr>
          <w:b/>
        </w:rPr>
        <w:t xml:space="preserve"> </w:t>
      </w:r>
      <w:r w:rsidRPr="00072AEC">
        <w:rPr>
          <w:b/>
        </w:rPr>
        <w:t>knowledge exchange peer groups. The proposed clusters and clustering approach is detailed in</w:t>
      </w:r>
      <w:r>
        <w:rPr>
          <w:b/>
        </w:rPr>
        <w:t xml:space="preserve"> </w:t>
      </w:r>
      <w:r w:rsidRPr="00072AEC">
        <w:rPr>
          <w:b/>
        </w:rPr>
        <w:t>the KEF consultation document. Please use the following questions to provide your feedback on</w:t>
      </w:r>
      <w:r>
        <w:rPr>
          <w:b/>
        </w:rPr>
        <w:t xml:space="preserve"> </w:t>
      </w:r>
      <w:r w:rsidRPr="00072AEC">
        <w:rPr>
          <w:b/>
        </w:rPr>
        <w:t>our proposals.</w:t>
      </w:r>
    </w:p>
    <w:p w14:paraId="534A6E7C" w14:textId="77777777" w:rsidR="00F77FDB" w:rsidRDefault="00F77FDB" w:rsidP="00072AEC">
      <w:pPr>
        <w:spacing w:after="0"/>
        <w:rPr>
          <w:b/>
        </w:rPr>
      </w:pPr>
    </w:p>
    <w:p w14:paraId="76E90FFD" w14:textId="77820D70" w:rsidR="0065579A" w:rsidRDefault="00072AEC" w:rsidP="00072AEC">
      <w:pPr>
        <w:spacing w:after="0"/>
        <w:rPr>
          <w:b/>
        </w:rPr>
      </w:pPr>
      <w:r w:rsidRPr="00072AEC">
        <w:rPr>
          <w:b/>
        </w:rPr>
        <w:t>Please indicate your degree of support for the following aspects of our clustering</w:t>
      </w:r>
      <w:r>
        <w:rPr>
          <w:b/>
        </w:rPr>
        <w:t xml:space="preserve"> </w:t>
      </w:r>
      <w:r w:rsidRPr="00072AEC">
        <w:rPr>
          <w:b/>
        </w:rPr>
        <w:t>approach</w:t>
      </w:r>
      <w:r>
        <w:rPr>
          <w:b/>
        </w:rPr>
        <w:t xml:space="preserve">. </w:t>
      </w:r>
      <w:r w:rsidRPr="00072AEC">
        <w:rPr>
          <w:b/>
        </w:rPr>
        <w:t>Please provide commentary on any aspect of your scores above. If relevant</w:t>
      </w:r>
      <w:r>
        <w:rPr>
          <w:b/>
        </w:rPr>
        <w:t xml:space="preserve">, </w:t>
      </w:r>
      <w:r w:rsidRPr="00072AEC">
        <w:rPr>
          <w:b/>
        </w:rPr>
        <w:t>please</w:t>
      </w:r>
      <w:r>
        <w:rPr>
          <w:b/>
        </w:rPr>
        <w:t xml:space="preserve"> </w:t>
      </w:r>
      <w:r w:rsidRPr="00072AEC">
        <w:rPr>
          <w:b/>
        </w:rPr>
        <w:t>incorporate suggestions for alternative arrangements. (400</w:t>
      </w:r>
      <w:r>
        <w:rPr>
          <w:b/>
        </w:rPr>
        <w:t>-</w:t>
      </w:r>
      <w:r w:rsidRPr="00072AEC">
        <w:rPr>
          <w:b/>
        </w:rPr>
        <w:t>word limit)</w:t>
      </w:r>
    </w:p>
    <w:p w14:paraId="36C1B461" w14:textId="77777777" w:rsidR="00072AEC" w:rsidRDefault="00072AEC" w:rsidP="00072AEC">
      <w:pPr>
        <w:spacing w:after="0"/>
        <w:rPr>
          <w:b/>
        </w:rPr>
      </w:pPr>
    </w:p>
    <w:tbl>
      <w:tblPr>
        <w:tblStyle w:val="TableGrid"/>
        <w:tblW w:w="0" w:type="auto"/>
        <w:tblInd w:w="360" w:type="dxa"/>
        <w:tblLook w:val="04A0" w:firstRow="1" w:lastRow="0" w:firstColumn="1" w:lastColumn="0" w:noHBand="0" w:noVBand="1"/>
      </w:tblPr>
      <w:tblGrid>
        <w:gridCol w:w="2402"/>
        <w:gridCol w:w="917"/>
        <w:gridCol w:w="852"/>
        <w:gridCol w:w="1031"/>
        <w:gridCol w:w="997"/>
        <w:gridCol w:w="822"/>
        <w:gridCol w:w="843"/>
        <w:gridCol w:w="792"/>
      </w:tblGrid>
      <w:tr w:rsidR="00072AEC" w:rsidRPr="003F021D" w14:paraId="7CECA542" w14:textId="77777777" w:rsidTr="00D1722A">
        <w:tc>
          <w:tcPr>
            <w:tcW w:w="2404" w:type="dxa"/>
          </w:tcPr>
          <w:p w14:paraId="3A44022F" w14:textId="77777777" w:rsidR="00072AEC" w:rsidRDefault="00072AEC" w:rsidP="00D1722A">
            <w:pPr>
              <w:pStyle w:val="ListParagraph"/>
              <w:ind w:left="0"/>
            </w:pPr>
          </w:p>
        </w:tc>
        <w:tc>
          <w:tcPr>
            <w:tcW w:w="917" w:type="dxa"/>
          </w:tcPr>
          <w:p w14:paraId="5E14A01C" w14:textId="77777777" w:rsidR="00072AEC" w:rsidRPr="003F021D" w:rsidRDefault="00072AEC" w:rsidP="00D1722A">
            <w:pPr>
              <w:pStyle w:val="ListParagraph"/>
              <w:ind w:left="0"/>
              <w:rPr>
                <w:sz w:val="18"/>
                <w:szCs w:val="18"/>
              </w:rPr>
            </w:pPr>
            <w:r w:rsidRPr="003F021D">
              <w:rPr>
                <w:sz w:val="18"/>
                <w:szCs w:val="18"/>
              </w:rPr>
              <w:t>Strongly disagree</w:t>
            </w:r>
          </w:p>
        </w:tc>
        <w:tc>
          <w:tcPr>
            <w:tcW w:w="850" w:type="dxa"/>
          </w:tcPr>
          <w:p w14:paraId="584F469C" w14:textId="77777777" w:rsidR="00072AEC" w:rsidRPr="003F021D" w:rsidRDefault="00072AEC" w:rsidP="00D1722A">
            <w:pPr>
              <w:pStyle w:val="ListParagraph"/>
              <w:ind w:left="0"/>
              <w:rPr>
                <w:sz w:val="18"/>
                <w:szCs w:val="18"/>
              </w:rPr>
            </w:pPr>
            <w:r w:rsidRPr="003F021D">
              <w:rPr>
                <w:sz w:val="18"/>
                <w:szCs w:val="18"/>
              </w:rPr>
              <w:t>Disagree</w:t>
            </w:r>
          </w:p>
        </w:tc>
        <w:tc>
          <w:tcPr>
            <w:tcW w:w="1031" w:type="dxa"/>
          </w:tcPr>
          <w:p w14:paraId="7454B2D9" w14:textId="77777777" w:rsidR="00072AEC" w:rsidRPr="003F021D" w:rsidRDefault="00072AEC" w:rsidP="00D1722A">
            <w:pPr>
              <w:pStyle w:val="ListParagraph"/>
              <w:ind w:left="0"/>
              <w:rPr>
                <w:sz w:val="18"/>
                <w:szCs w:val="18"/>
              </w:rPr>
            </w:pPr>
            <w:r w:rsidRPr="003F021D">
              <w:rPr>
                <w:sz w:val="18"/>
                <w:szCs w:val="18"/>
              </w:rPr>
              <w:t>Somewhat disagree</w:t>
            </w:r>
          </w:p>
        </w:tc>
        <w:tc>
          <w:tcPr>
            <w:tcW w:w="997" w:type="dxa"/>
          </w:tcPr>
          <w:p w14:paraId="705E2969" w14:textId="77777777" w:rsidR="00072AEC" w:rsidRPr="003F021D" w:rsidRDefault="00072AEC" w:rsidP="00D1722A">
            <w:pPr>
              <w:pStyle w:val="ListParagraph"/>
              <w:ind w:left="0"/>
              <w:rPr>
                <w:sz w:val="18"/>
                <w:szCs w:val="18"/>
              </w:rPr>
            </w:pPr>
            <w:r w:rsidRPr="003F021D">
              <w:rPr>
                <w:sz w:val="18"/>
                <w:szCs w:val="18"/>
              </w:rPr>
              <w:t>Somewhat agree</w:t>
            </w:r>
          </w:p>
        </w:tc>
        <w:tc>
          <w:tcPr>
            <w:tcW w:w="822" w:type="dxa"/>
          </w:tcPr>
          <w:p w14:paraId="6767A7A4" w14:textId="77777777" w:rsidR="00072AEC" w:rsidRPr="003F021D" w:rsidRDefault="00072AEC" w:rsidP="00D1722A">
            <w:pPr>
              <w:pStyle w:val="ListParagraph"/>
              <w:ind w:left="0"/>
              <w:rPr>
                <w:sz w:val="18"/>
                <w:szCs w:val="18"/>
              </w:rPr>
            </w:pPr>
            <w:r w:rsidRPr="003F021D">
              <w:rPr>
                <w:sz w:val="18"/>
                <w:szCs w:val="18"/>
              </w:rPr>
              <w:t>Agree</w:t>
            </w:r>
          </w:p>
        </w:tc>
        <w:tc>
          <w:tcPr>
            <w:tcW w:w="843" w:type="dxa"/>
          </w:tcPr>
          <w:p w14:paraId="0E971A38" w14:textId="77777777" w:rsidR="00072AEC" w:rsidRPr="003F021D" w:rsidRDefault="00072AEC" w:rsidP="00D1722A">
            <w:pPr>
              <w:pStyle w:val="ListParagraph"/>
              <w:ind w:left="0"/>
              <w:rPr>
                <w:sz w:val="18"/>
                <w:szCs w:val="18"/>
              </w:rPr>
            </w:pPr>
            <w:r w:rsidRPr="003F021D">
              <w:rPr>
                <w:sz w:val="18"/>
                <w:szCs w:val="18"/>
              </w:rPr>
              <w:t>Strongly agree</w:t>
            </w:r>
          </w:p>
        </w:tc>
        <w:tc>
          <w:tcPr>
            <w:tcW w:w="792" w:type="dxa"/>
          </w:tcPr>
          <w:p w14:paraId="55D58F70" w14:textId="77777777" w:rsidR="00072AEC" w:rsidRPr="003F021D" w:rsidRDefault="00072AEC" w:rsidP="00D1722A">
            <w:pPr>
              <w:pStyle w:val="ListParagraph"/>
              <w:ind w:left="0"/>
              <w:rPr>
                <w:sz w:val="18"/>
                <w:szCs w:val="18"/>
              </w:rPr>
            </w:pPr>
            <w:r w:rsidRPr="003F021D">
              <w:rPr>
                <w:sz w:val="18"/>
                <w:szCs w:val="18"/>
              </w:rPr>
              <w:t>No opinion</w:t>
            </w:r>
          </w:p>
        </w:tc>
      </w:tr>
      <w:tr w:rsidR="00072AEC" w14:paraId="31C63B6E" w14:textId="77777777" w:rsidTr="00D1722A">
        <w:tc>
          <w:tcPr>
            <w:tcW w:w="2404" w:type="dxa"/>
          </w:tcPr>
          <w:p w14:paraId="6E95D30F" w14:textId="77777777" w:rsidR="00072AEC" w:rsidRPr="00072AEC" w:rsidRDefault="00072AEC" w:rsidP="00072AEC">
            <w:pPr>
              <w:pStyle w:val="ListParagraph"/>
              <w:ind w:left="0"/>
            </w:pPr>
            <w:r w:rsidRPr="00072AEC">
              <w:t>The conceptual</w:t>
            </w:r>
          </w:p>
          <w:p w14:paraId="04CED280" w14:textId="77777777" w:rsidR="00072AEC" w:rsidRPr="00072AEC" w:rsidRDefault="00072AEC" w:rsidP="00072AEC">
            <w:pPr>
              <w:pStyle w:val="ListParagraph"/>
              <w:ind w:left="0"/>
            </w:pPr>
            <w:r w:rsidRPr="00072AEC">
              <w:t>framework that</w:t>
            </w:r>
          </w:p>
          <w:p w14:paraId="0D6E2948" w14:textId="77777777" w:rsidR="00072AEC" w:rsidRPr="00072AEC" w:rsidRDefault="00072AEC" w:rsidP="00072AEC">
            <w:pPr>
              <w:pStyle w:val="ListParagraph"/>
              <w:ind w:left="0"/>
            </w:pPr>
            <w:r w:rsidRPr="00072AEC">
              <w:lastRenderedPageBreak/>
              <w:t>underpins the cluster</w:t>
            </w:r>
          </w:p>
          <w:p w14:paraId="1D8CD28F" w14:textId="56326C26" w:rsidR="00072AEC" w:rsidRDefault="00072AEC" w:rsidP="00072AEC">
            <w:pPr>
              <w:pStyle w:val="ListParagraph"/>
              <w:ind w:left="0"/>
            </w:pPr>
            <w:r w:rsidRPr="00072AEC">
              <w:t>analysis.</w:t>
            </w:r>
          </w:p>
        </w:tc>
        <w:tc>
          <w:tcPr>
            <w:tcW w:w="917" w:type="dxa"/>
          </w:tcPr>
          <w:p w14:paraId="3E767BE9" w14:textId="77777777" w:rsidR="00072AEC" w:rsidRPr="00EF5041" w:rsidRDefault="00072AEC" w:rsidP="00D1722A">
            <w:pPr>
              <w:pStyle w:val="ListParagraph"/>
              <w:ind w:left="0"/>
              <w:rPr>
                <w:highlight w:val="yellow"/>
              </w:rPr>
            </w:pPr>
          </w:p>
        </w:tc>
        <w:tc>
          <w:tcPr>
            <w:tcW w:w="850" w:type="dxa"/>
          </w:tcPr>
          <w:p w14:paraId="627C69D1" w14:textId="77777777" w:rsidR="00072AEC" w:rsidRPr="00EF5041" w:rsidRDefault="00072AEC" w:rsidP="00D1722A">
            <w:pPr>
              <w:pStyle w:val="ListParagraph"/>
              <w:ind w:left="0"/>
              <w:rPr>
                <w:highlight w:val="yellow"/>
              </w:rPr>
            </w:pPr>
          </w:p>
        </w:tc>
        <w:tc>
          <w:tcPr>
            <w:tcW w:w="1031" w:type="dxa"/>
          </w:tcPr>
          <w:p w14:paraId="59F45E67" w14:textId="77777777" w:rsidR="00072AEC" w:rsidRPr="00EF5041" w:rsidRDefault="00072AEC" w:rsidP="00D1722A">
            <w:pPr>
              <w:pStyle w:val="ListParagraph"/>
              <w:ind w:left="0"/>
              <w:rPr>
                <w:highlight w:val="yellow"/>
              </w:rPr>
            </w:pPr>
          </w:p>
        </w:tc>
        <w:tc>
          <w:tcPr>
            <w:tcW w:w="997" w:type="dxa"/>
          </w:tcPr>
          <w:p w14:paraId="0ED66957" w14:textId="3B1DAC70" w:rsidR="00072AEC" w:rsidRPr="00EF5041" w:rsidRDefault="00B41F13" w:rsidP="00D1722A">
            <w:pPr>
              <w:pStyle w:val="ListParagraph"/>
              <w:ind w:left="0"/>
              <w:rPr>
                <w:highlight w:val="yellow"/>
              </w:rPr>
            </w:pPr>
            <w:r w:rsidRPr="00EF5041">
              <w:rPr>
                <w:highlight w:val="yellow"/>
              </w:rPr>
              <w:t>Yes</w:t>
            </w:r>
          </w:p>
        </w:tc>
        <w:tc>
          <w:tcPr>
            <w:tcW w:w="822" w:type="dxa"/>
          </w:tcPr>
          <w:p w14:paraId="5293F2DD" w14:textId="77777777" w:rsidR="00072AEC" w:rsidRPr="00EF5041" w:rsidRDefault="00072AEC" w:rsidP="00D1722A">
            <w:pPr>
              <w:pStyle w:val="ListParagraph"/>
              <w:ind w:left="0"/>
              <w:rPr>
                <w:highlight w:val="yellow"/>
              </w:rPr>
            </w:pPr>
          </w:p>
        </w:tc>
        <w:tc>
          <w:tcPr>
            <w:tcW w:w="843" w:type="dxa"/>
          </w:tcPr>
          <w:p w14:paraId="10D8F456" w14:textId="7D188F94" w:rsidR="00072AEC" w:rsidRPr="00EF5041" w:rsidRDefault="00072AEC" w:rsidP="00D1722A">
            <w:pPr>
              <w:pStyle w:val="ListParagraph"/>
              <w:ind w:left="0"/>
              <w:rPr>
                <w:highlight w:val="yellow"/>
              </w:rPr>
            </w:pPr>
          </w:p>
        </w:tc>
        <w:tc>
          <w:tcPr>
            <w:tcW w:w="792" w:type="dxa"/>
          </w:tcPr>
          <w:p w14:paraId="6E2237DE" w14:textId="77777777" w:rsidR="00072AEC" w:rsidRPr="00EF5041" w:rsidRDefault="00072AEC" w:rsidP="00D1722A">
            <w:pPr>
              <w:pStyle w:val="ListParagraph"/>
              <w:ind w:left="0"/>
              <w:rPr>
                <w:highlight w:val="yellow"/>
              </w:rPr>
            </w:pPr>
          </w:p>
        </w:tc>
      </w:tr>
      <w:tr w:rsidR="00072AEC" w14:paraId="1A0AD213" w14:textId="77777777" w:rsidTr="00D1722A">
        <w:tc>
          <w:tcPr>
            <w:tcW w:w="2404" w:type="dxa"/>
          </w:tcPr>
          <w:p w14:paraId="5AC64093" w14:textId="77777777" w:rsidR="00072AEC" w:rsidRPr="00072AEC" w:rsidRDefault="00072AEC" w:rsidP="00072AEC">
            <w:pPr>
              <w:pStyle w:val="ListParagraph"/>
              <w:ind w:left="0"/>
            </w:pPr>
            <w:r w:rsidRPr="00072AEC">
              <w:t>The variables and</w:t>
            </w:r>
          </w:p>
          <w:p w14:paraId="02A81ED9" w14:textId="77777777" w:rsidR="00072AEC" w:rsidRPr="00072AEC" w:rsidRDefault="00072AEC" w:rsidP="00072AEC">
            <w:pPr>
              <w:pStyle w:val="ListParagraph"/>
              <w:ind w:left="0"/>
            </w:pPr>
            <w:r w:rsidRPr="00072AEC">
              <w:t>methods employed in</w:t>
            </w:r>
          </w:p>
          <w:p w14:paraId="06B41D56" w14:textId="77777777" w:rsidR="00072AEC" w:rsidRPr="00072AEC" w:rsidRDefault="00072AEC" w:rsidP="00072AEC">
            <w:pPr>
              <w:pStyle w:val="ListParagraph"/>
              <w:ind w:left="0"/>
            </w:pPr>
            <w:r w:rsidRPr="00072AEC">
              <w:t>undertaking the</w:t>
            </w:r>
          </w:p>
          <w:p w14:paraId="1CE2C780" w14:textId="46D6300E" w:rsidR="00072AEC" w:rsidRDefault="00072AEC" w:rsidP="00072AEC">
            <w:pPr>
              <w:pStyle w:val="ListParagraph"/>
              <w:ind w:left="0"/>
            </w:pPr>
            <w:r w:rsidRPr="00072AEC">
              <w:t>cluster analysis.</w:t>
            </w:r>
          </w:p>
        </w:tc>
        <w:tc>
          <w:tcPr>
            <w:tcW w:w="917" w:type="dxa"/>
          </w:tcPr>
          <w:p w14:paraId="430C397D" w14:textId="77777777" w:rsidR="00072AEC" w:rsidRPr="00EF5041" w:rsidRDefault="00072AEC" w:rsidP="00D1722A">
            <w:pPr>
              <w:pStyle w:val="ListParagraph"/>
              <w:ind w:left="0"/>
              <w:rPr>
                <w:highlight w:val="yellow"/>
              </w:rPr>
            </w:pPr>
          </w:p>
        </w:tc>
        <w:tc>
          <w:tcPr>
            <w:tcW w:w="850" w:type="dxa"/>
          </w:tcPr>
          <w:p w14:paraId="47064EE5" w14:textId="77777777" w:rsidR="00072AEC" w:rsidRPr="00EF5041" w:rsidRDefault="00072AEC" w:rsidP="00D1722A">
            <w:pPr>
              <w:pStyle w:val="ListParagraph"/>
              <w:ind w:left="0"/>
              <w:rPr>
                <w:highlight w:val="yellow"/>
              </w:rPr>
            </w:pPr>
          </w:p>
        </w:tc>
        <w:tc>
          <w:tcPr>
            <w:tcW w:w="1031" w:type="dxa"/>
          </w:tcPr>
          <w:p w14:paraId="580D82E7" w14:textId="77777777" w:rsidR="00072AEC" w:rsidRPr="00EF5041" w:rsidRDefault="00072AEC" w:rsidP="00D1722A">
            <w:pPr>
              <w:pStyle w:val="ListParagraph"/>
              <w:ind w:left="0"/>
              <w:rPr>
                <w:highlight w:val="yellow"/>
              </w:rPr>
            </w:pPr>
          </w:p>
        </w:tc>
        <w:tc>
          <w:tcPr>
            <w:tcW w:w="997" w:type="dxa"/>
          </w:tcPr>
          <w:p w14:paraId="1963BE59" w14:textId="5F953F1C" w:rsidR="00072AEC" w:rsidRPr="00EF5041" w:rsidRDefault="00B41F13" w:rsidP="00D1722A">
            <w:pPr>
              <w:pStyle w:val="ListParagraph"/>
              <w:ind w:left="0"/>
              <w:rPr>
                <w:highlight w:val="yellow"/>
              </w:rPr>
            </w:pPr>
            <w:r w:rsidRPr="00EF5041">
              <w:rPr>
                <w:highlight w:val="yellow"/>
              </w:rPr>
              <w:t>Yes</w:t>
            </w:r>
          </w:p>
        </w:tc>
        <w:tc>
          <w:tcPr>
            <w:tcW w:w="822" w:type="dxa"/>
          </w:tcPr>
          <w:p w14:paraId="228A1B6C" w14:textId="77777777" w:rsidR="00072AEC" w:rsidRPr="00EF5041" w:rsidRDefault="00072AEC" w:rsidP="00D1722A">
            <w:pPr>
              <w:pStyle w:val="ListParagraph"/>
              <w:ind w:left="0"/>
              <w:rPr>
                <w:highlight w:val="yellow"/>
              </w:rPr>
            </w:pPr>
          </w:p>
        </w:tc>
        <w:tc>
          <w:tcPr>
            <w:tcW w:w="843" w:type="dxa"/>
          </w:tcPr>
          <w:p w14:paraId="274AD5D4" w14:textId="77777777" w:rsidR="00072AEC" w:rsidRPr="00EF5041" w:rsidRDefault="00072AEC" w:rsidP="00D1722A">
            <w:pPr>
              <w:pStyle w:val="ListParagraph"/>
              <w:ind w:left="0"/>
              <w:rPr>
                <w:highlight w:val="yellow"/>
              </w:rPr>
            </w:pPr>
          </w:p>
        </w:tc>
        <w:tc>
          <w:tcPr>
            <w:tcW w:w="792" w:type="dxa"/>
          </w:tcPr>
          <w:p w14:paraId="7CF9E673" w14:textId="77777777" w:rsidR="00072AEC" w:rsidRPr="00EF5041" w:rsidRDefault="00072AEC" w:rsidP="00D1722A">
            <w:pPr>
              <w:pStyle w:val="ListParagraph"/>
              <w:ind w:left="0"/>
              <w:rPr>
                <w:highlight w:val="yellow"/>
              </w:rPr>
            </w:pPr>
          </w:p>
        </w:tc>
      </w:tr>
      <w:tr w:rsidR="00072AEC" w14:paraId="57B290AA" w14:textId="77777777" w:rsidTr="00D1722A">
        <w:tc>
          <w:tcPr>
            <w:tcW w:w="2404" w:type="dxa"/>
          </w:tcPr>
          <w:p w14:paraId="51A7B7ED" w14:textId="77777777" w:rsidR="00F77FDB" w:rsidRPr="00F77FDB" w:rsidRDefault="00F77FDB" w:rsidP="00F77FDB">
            <w:pPr>
              <w:pStyle w:val="ListParagraph"/>
              <w:ind w:left="0"/>
            </w:pPr>
            <w:r w:rsidRPr="00F77FDB">
              <w:t>The resulting make</w:t>
            </w:r>
          </w:p>
          <w:p w14:paraId="2A47DB56" w14:textId="77777777" w:rsidR="00F77FDB" w:rsidRPr="00F77FDB" w:rsidRDefault="00F77FDB" w:rsidP="00F77FDB">
            <w:pPr>
              <w:pStyle w:val="ListParagraph"/>
              <w:ind w:left="0"/>
            </w:pPr>
            <w:r w:rsidRPr="00F77FDB">
              <w:t>up of the clusters, i.e.</w:t>
            </w:r>
          </w:p>
          <w:p w14:paraId="1650E6E5" w14:textId="21B63CB9" w:rsidR="00072AEC" w:rsidRDefault="00F77FDB" w:rsidP="00F77FDB">
            <w:pPr>
              <w:pStyle w:val="ListParagraph"/>
              <w:ind w:left="0"/>
            </w:pPr>
            <w:r w:rsidRPr="00F77FDB">
              <w:t>the membership.</w:t>
            </w:r>
          </w:p>
        </w:tc>
        <w:tc>
          <w:tcPr>
            <w:tcW w:w="917" w:type="dxa"/>
          </w:tcPr>
          <w:p w14:paraId="38B6A028" w14:textId="77777777" w:rsidR="00072AEC" w:rsidRPr="00EF5041" w:rsidRDefault="00072AEC" w:rsidP="00D1722A">
            <w:pPr>
              <w:pStyle w:val="ListParagraph"/>
              <w:ind w:left="0"/>
              <w:rPr>
                <w:highlight w:val="yellow"/>
              </w:rPr>
            </w:pPr>
          </w:p>
        </w:tc>
        <w:tc>
          <w:tcPr>
            <w:tcW w:w="850" w:type="dxa"/>
          </w:tcPr>
          <w:p w14:paraId="512AE483" w14:textId="77777777" w:rsidR="00072AEC" w:rsidRPr="00EF5041" w:rsidRDefault="00072AEC" w:rsidP="00D1722A">
            <w:pPr>
              <w:pStyle w:val="ListParagraph"/>
              <w:ind w:left="0"/>
              <w:rPr>
                <w:highlight w:val="yellow"/>
              </w:rPr>
            </w:pPr>
          </w:p>
        </w:tc>
        <w:tc>
          <w:tcPr>
            <w:tcW w:w="1031" w:type="dxa"/>
          </w:tcPr>
          <w:p w14:paraId="758D6874" w14:textId="77777777" w:rsidR="00072AEC" w:rsidRPr="00EF5041" w:rsidRDefault="00072AEC" w:rsidP="00D1722A">
            <w:pPr>
              <w:pStyle w:val="ListParagraph"/>
              <w:ind w:left="0"/>
              <w:rPr>
                <w:highlight w:val="yellow"/>
              </w:rPr>
            </w:pPr>
          </w:p>
        </w:tc>
        <w:tc>
          <w:tcPr>
            <w:tcW w:w="997" w:type="dxa"/>
          </w:tcPr>
          <w:p w14:paraId="4CED1570" w14:textId="77777777" w:rsidR="00072AEC" w:rsidRPr="00EF5041" w:rsidRDefault="00072AEC" w:rsidP="00D1722A">
            <w:pPr>
              <w:pStyle w:val="ListParagraph"/>
              <w:ind w:left="0"/>
              <w:rPr>
                <w:highlight w:val="yellow"/>
              </w:rPr>
            </w:pPr>
          </w:p>
        </w:tc>
        <w:tc>
          <w:tcPr>
            <w:tcW w:w="822" w:type="dxa"/>
          </w:tcPr>
          <w:p w14:paraId="3E5C47B9" w14:textId="77777777" w:rsidR="00072AEC" w:rsidRPr="00EF5041" w:rsidRDefault="00072AEC" w:rsidP="00D1722A">
            <w:pPr>
              <w:pStyle w:val="ListParagraph"/>
              <w:ind w:left="0"/>
              <w:rPr>
                <w:highlight w:val="yellow"/>
              </w:rPr>
            </w:pPr>
          </w:p>
        </w:tc>
        <w:tc>
          <w:tcPr>
            <w:tcW w:w="843" w:type="dxa"/>
          </w:tcPr>
          <w:p w14:paraId="75385C78" w14:textId="04623CC8" w:rsidR="00072AEC" w:rsidRPr="00EF5041" w:rsidRDefault="00F77FDB" w:rsidP="00D1722A">
            <w:pPr>
              <w:pStyle w:val="ListParagraph"/>
              <w:ind w:left="0"/>
              <w:rPr>
                <w:highlight w:val="yellow"/>
              </w:rPr>
            </w:pPr>
            <w:r w:rsidRPr="00EF5041">
              <w:rPr>
                <w:highlight w:val="yellow"/>
              </w:rPr>
              <w:t>Yes</w:t>
            </w:r>
          </w:p>
        </w:tc>
        <w:tc>
          <w:tcPr>
            <w:tcW w:w="792" w:type="dxa"/>
          </w:tcPr>
          <w:p w14:paraId="0E4066C0" w14:textId="77777777" w:rsidR="00072AEC" w:rsidRPr="00EF5041" w:rsidRDefault="00072AEC" w:rsidP="00D1722A">
            <w:pPr>
              <w:pStyle w:val="ListParagraph"/>
              <w:ind w:left="0"/>
              <w:rPr>
                <w:highlight w:val="yellow"/>
              </w:rPr>
            </w:pPr>
          </w:p>
        </w:tc>
      </w:tr>
      <w:tr w:rsidR="00072AEC" w14:paraId="6FFCF928" w14:textId="77777777" w:rsidTr="00D1722A">
        <w:tc>
          <w:tcPr>
            <w:tcW w:w="2404" w:type="dxa"/>
          </w:tcPr>
          <w:p w14:paraId="53BB8070" w14:textId="77777777" w:rsidR="00072AEC" w:rsidRPr="00072AEC" w:rsidRDefault="00072AEC" w:rsidP="00072AEC">
            <w:pPr>
              <w:pStyle w:val="ListParagraph"/>
              <w:ind w:left="0"/>
            </w:pPr>
            <w:r w:rsidRPr="00072AEC">
              <w:t>That the overall</w:t>
            </w:r>
          </w:p>
          <w:p w14:paraId="5B3B1AF5" w14:textId="77777777" w:rsidR="00072AEC" w:rsidRPr="00072AEC" w:rsidRDefault="00072AEC" w:rsidP="00072AEC">
            <w:pPr>
              <w:pStyle w:val="ListParagraph"/>
              <w:ind w:left="0"/>
            </w:pPr>
            <w:r w:rsidRPr="00072AEC">
              <w:t>approach to</w:t>
            </w:r>
          </w:p>
          <w:p w14:paraId="058613C8" w14:textId="77777777" w:rsidR="00072AEC" w:rsidRPr="00072AEC" w:rsidRDefault="00072AEC" w:rsidP="00072AEC">
            <w:pPr>
              <w:pStyle w:val="ListParagraph"/>
              <w:ind w:left="0"/>
            </w:pPr>
            <w:r w:rsidRPr="00072AEC">
              <w:t>clustering helps</w:t>
            </w:r>
          </w:p>
          <w:p w14:paraId="03B18CEB" w14:textId="77777777" w:rsidR="00072AEC" w:rsidRPr="00072AEC" w:rsidRDefault="00072AEC" w:rsidP="00072AEC">
            <w:pPr>
              <w:pStyle w:val="ListParagraph"/>
              <w:ind w:left="0"/>
            </w:pPr>
            <w:r w:rsidRPr="00072AEC">
              <w:t>Research England to</w:t>
            </w:r>
          </w:p>
          <w:p w14:paraId="4D77BBC2" w14:textId="77777777" w:rsidR="00072AEC" w:rsidRPr="00072AEC" w:rsidRDefault="00072AEC" w:rsidP="00072AEC">
            <w:pPr>
              <w:pStyle w:val="ListParagraph"/>
              <w:ind w:left="0"/>
            </w:pPr>
            <w:r w:rsidRPr="00072AEC">
              <w:t>meet the stated</w:t>
            </w:r>
          </w:p>
          <w:p w14:paraId="056AD7A6" w14:textId="77777777" w:rsidR="00072AEC" w:rsidRPr="00072AEC" w:rsidRDefault="00072AEC" w:rsidP="00072AEC">
            <w:pPr>
              <w:pStyle w:val="ListParagraph"/>
              <w:ind w:left="0"/>
            </w:pPr>
            <w:r w:rsidRPr="00072AEC">
              <w:t>purposes of the KEF</w:t>
            </w:r>
          </w:p>
          <w:p w14:paraId="6EDFAA6F" w14:textId="77777777" w:rsidR="00072AEC" w:rsidRPr="00072AEC" w:rsidRDefault="00072AEC" w:rsidP="00072AEC">
            <w:pPr>
              <w:pStyle w:val="ListParagraph"/>
              <w:ind w:left="0"/>
            </w:pPr>
            <w:r w:rsidRPr="00072AEC">
              <w:t>and ensures fair</w:t>
            </w:r>
          </w:p>
          <w:p w14:paraId="2C29E5F7" w14:textId="159A47D5" w:rsidR="00072AEC" w:rsidRDefault="00072AEC" w:rsidP="00072AEC">
            <w:pPr>
              <w:pStyle w:val="ListParagraph"/>
              <w:ind w:left="0"/>
            </w:pPr>
            <w:r w:rsidRPr="00072AEC">
              <w:t>comparison.</w:t>
            </w:r>
          </w:p>
        </w:tc>
        <w:tc>
          <w:tcPr>
            <w:tcW w:w="917" w:type="dxa"/>
          </w:tcPr>
          <w:p w14:paraId="5E67FE02" w14:textId="77777777" w:rsidR="00072AEC" w:rsidRPr="00EF5041" w:rsidRDefault="00072AEC" w:rsidP="00D1722A">
            <w:pPr>
              <w:pStyle w:val="ListParagraph"/>
              <w:ind w:left="0"/>
              <w:rPr>
                <w:highlight w:val="yellow"/>
              </w:rPr>
            </w:pPr>
          </w:p>
        </w:tc>
        <w:tc>
          <w:tcPr>
            <w:tcW w:w="850" w:type="dxa"/>
          </w:tcPr>
          <w:p w14:paraId="5688854A" w14:textId="77777777" w:rsidR="00072AEC" w:rsidRPr="00EF5041" w:rsidRDefault="00072AEC" w:rsidP="00D1722A">
            <w:pPr>
              <w:pStyle w:val="ListParagraph"/>
              <w:ind w:left="0"/>
              <w:rPr>
                <w:highlight w:val="yellow"/>
              </w:rPr>
            </w:pPr>
          </w:p>
        </w:tc>
        <w:tc>
          <w:tcPr>
            <w:tcW w:w="1031" w:type="dxa"/>
          </w:tcPr>
          <w:p w14:paraId="4E6E5DAB" w14:textId="77777777" w:rsidR="00072AEC" w:rsidRPr="00EF5041" w:rsidRDefault="00072AEC" w:rsidP="00D1722A">
            <w:pPr>
              <w:pStyle w:val="ListParagraph"/>
              <w:ind w:left="0"/>
              <w:rPr>
                <w:highlight w:val="yellow"/>
              </w:rPr>
            </w:pPr>
          </w:p>
        </w:tc>
        <w:tc>
          <w:tcPr>
            <w:tcW w:w="997" w:type="dxa"/>
          </w:tcPr>
          <w:p w14:paraId="7B0C57A3" w14:textId="426A0DC4" w:rsidR="00072AEC" w:rsidRPr="00EF5041" w:rsidRDefault="00B41F13" w:rsidP="00D1722A">
            <w:pPr>
              <w:pStyle w:val="ListParagraph"/>
              <w:ind w:left="0"/>
              <w:rPr>
                <w:highlight w:val="yellow"/>
              </w:rPr>
            </w:pPr>
            <w:r w:rsidRPr="00EF5041">
              <w:rPr>
                <w:highlight w:val="yellow"/>
              </w:rPr>
              <w:t>Yes</w:t>
            </w:r>
          </w:p>
        </w:tc>
        <w:tc>
          <w:tcPr>
            <w:tcW w:w="822" w:type="dxa"/>
          </w:tcPr>
          <w:p w14:paraId="238B0559" w14:textId="77777777" w:rsidR="00072AEC" w:rsidRPr="00EF5041" w:rsidRDefault="00072AEC" w:rsidP="00D1722A">
            <w:pPr>
              <w:pStyle w:val="ListParagraph"/>
              <w:ind w:left="0"/>
              <w:rPr>
                <w:highlight w:val="yellow"/>
              </w:rPr>
            </w:pPr>
          </w:p>
        </w:tc>
        <w:tc>
          <w:tcPr>
            <w:tcW w:w="843" w:type="dxa"/>
          </w:tcPr>
          <w:p w14:paraId="2758E7FF" w14:textId="08DDF435" w:rsidR="00072AEC" w:rsidRPr="00EF5041" w:rsidRDefault="00072AEC" w:rsidP="00D1722A">
            <w:pPr>
              <w:pStyle w:val="ListParagraph"/>
              <w:ind w:left="0"/>
              <w:rPr>
                <w:highlight w:val="yellow"/>
              </w:rPr>
            </w:pPr>
          </w:p>
        </w:tc>
        <w:tc>
          <w:tcPr>
            <w:tcW w:w="792" w:type="dxa"/>
          </w:tcPr>
          <w:p w14:paraId="18C8F21D" w14:textId="77777777" w:rsidR="00072AEC" w:rsidRPr="00EF5041" w:rsidRDefault="00072AEC" w:rsidP="00D1722A">
            <w:pPr>
              <w:pStyle w:val="ListParagraph"/>
              <w:ind w:left="0"/>
              <w:rPr>
                <w:highlight w:val="yellow"/>
              </w:rPr>
            </w:pPr>
          </w:p>
        </w:tc>
      </w:tr>
    </w:tbl>
    <w:p w14:paraId="66ADA76C" w14:textId="77777777" w:rsidR="00072AEC" w:rsidRDefault="00072AEC" w:rsidP="0065579A">
      <w:pPr>
        <w:pStyle w:val="ListParagraph"/>
        <w:ind w:left="360"/>
      </w:pPr>
    </w:p>
    <w:p w14:paraId="690537AB" w14:textId="09C906E7" w:rsidR="008570B0" w:rsidRDefault="00FA0D4F" w:rsidP="00E03E53">
      <w:pPr>
        <w:pStyle w:val="ListParagraph"/>
        <w:ind w:left="360"/>
        <w:rPr>
          <w:highlight w:val="yellow"/>
        </w:rPr>
      </w:pPr>
      <w:r w:rsidRPr="00EF5041">
        <w:rPr>
          <w:highlight w:val="yellow"/>
        </w:rPr>
        <w:t xml:space="preserve">The College </w:t>
      </w:r>
      <w:r w:rsidR="00F77152">
        <w:rPr>
          <w:highlight w:val="yellow"/>
        </w:rPr>
        <w:t>considers</w:t>
      </w:r>
      <w:r w:rsidR="00306438" w:rsidRPr="00EF5041">
        <w:rPr>
          <w:highlight w:val="yellow"/>
        </w:rPr>
        <w:t xml:space="preserve"> that a clustering approach is </w:t>
      </w:r>
      <w:r w:rsidR="00F77152">
        <w:rPr>
          <w:highlight w:val="yellow"/>
        </w:rPr>
        <w:t>appropriate,</w:t>
      </w:r>
      <w:r w:rsidR="00306438" w:rsidRPr="00EF5041">
        <w:rPr>
          <w:highlight w:val="yellow"/>
        </w:rPr>
        <w:t xml:space="preserve"> as different types of institution have different missions. However</w:t>
      </w:r>
      <w:r w:rsidR="00E03E53" w:rsidRPr="00EF5041">
        <w:rPr>
          <w:highlight w:val="yellow"/>
        </w:rPr>
        <w:t>,</w:t>
      </w:r>
      <w:r w:rsidR="00306438" w:rsidRPr="00EF5041">
        <w:rPr>
          <w:highlight w:val="yellow"/>
        </w:rPr>
        <w:t xml:space="preserve"> the College </w:t>
      </w:r>
      <w:r w:rsidR="00F77152">
        <w:rPr>
          <w:highlight w:val="yellow"/>
        </w:rPr>
        <w:t>considers</w:t>
      </w:r>
      <w:r w:rsidR="00306438" w:rsidRPr="00EF5041">
        <w:rPr>
          <w:highlight w:val="yellow"/>
        </w:rPr>
        <w:t xml:space="preserve"> that each individual institution should be able to determine </w:t>
      </w:r>
      <w:r w:rsidR="00E03E53" w:rsidRPr="00EF5041">
        <w:rPr>
          <w:highlight w:val="yellow"/>
        </w:rPr>
        <w:t xml:space="preserve">which cluster they belong in, </w:t>
      </w:r>
      <w:r w:rsidR="00823A18" w:rsidRPr="00EF5041">
        <w:rPr>
          <w:highlight w:val="yellow"/>
        </w:rPr>
        <w:t>in relation to its goals</w:t>
      </w:r>
      <w:r w:rsidR="00E03E53" w:rsidRPr="00EF5041">
        <w:rPr>
          <w:highlight w:val="yellow"/>
        </w:rPr>
        <w:t xml:space="preserve"> </w:t>
      </w:r>
      <w:r w:rsidR="00823A18" w:rsidRPr="00EF5041">
        <w:rPr>
          <w:highlight w:val="yellow"/>
        </w:rPr>
        <w:t xml:space="preserve">(this </w:t>
      </w:r>
      <w:r w:rsidR="00E03E53" w:rsidRPr="00EF5041">
        <w:rPr>
          <w:highlight w:val="yellow"/>
        </w:rPr>
        <w:t>may require a supporting argument relating to their own KE strategy</w:t>
      </w:r>
      <w:r w:rsidR="00823A18" w:rsidRPr="00EF5041">
        <w:rPr>
          <w:highlight w:val="yellow"/>
        </w:rPr>
        <w:t>)</w:t>
      </w:r>
      <w:r w:rsidR="00E03E53" w:rsidRPr="00EF5041">
        <w:rPr>
          <w:highlight w:val="yellow"/>
        </w:rPr>
        <w:t xml:space="preserve">. This is because each institution should play to its own strengths and should be judged by these. The College </w:t>
      </w:r>
      <w:r w:rsidR="00F77152">
        <w:rPr>
          <w:highlight w:val="yellow"/>
        </w:rPr>
        <w:t>considers</w:t>
      </w:r>
      <w:r w:rsidR="00E03E53" w:rsidRPr="00EF5041">
        <w:rPr>
          <w:highlight w:val="yellow"/>
        </w:rPr>
        <w:t xml:space="preserve"> that given the existing clusters, it is certainly in the correct one</w:t>
      </w:r>
      <w:r w:rsidR="00F77152">
        <w:rPr>
          <w:highlight w:val="yellow"/>
        </w:rPr>
        <w:t>;</w:t>
      </w:r>
      <w:r w:rsidR="00E03E53" w:rsidRPr="00EF5041">
        <w:rPr>
          <w:highlight w:val="yellow"/>
        </w:rPr>
        <w:t xml:space="preserve"> however</w:t>
      </w:r>
      <w:r w:rsidR="0097193A">
        <w:rPr>
          <w:highlight w:val="yellow"/>
        </w:rPr>
        <w:t>,</w:t>
      </w:r>
      <w:r w:rsidR="00E03E53" w:rsidRPr="00EF5041">
        <w:rPr>
          <w:highlight w:val="yellow"/>
        </w:rPr>
        <w:t xml:space="preserve"> </w:t>
      </w:r>
      <w:r w:rsidR="00823A18" w:rsidRPr="00EF5041">
        <w:rPr>
          <w:highlight w:val="yellow"/>
        </w:rPr>
        <w:t xml:space="preserve">it </w:t>
      </w:r>
      <w:r w:rsidR="00E03E53" w:rsidRPr="00EF5041">
        <w:rPr>
          <w:highlight w:val="yellow"/>
        </w:rPr>
        <w:t>is mindful that not all members of its own and other c</w:t>
      </w:r>
      <w:r w:rsidR="008570B0">
        <w:rPr>
          <w:highlight w:val="yellow"/>
        </w:rPr>
        <w:t xml:space="preserve">lusters will feel the same way. The institutions in Cluster V have similarities in the sense that they are Russell Group institutions with a large Medicine component, so may act in a similar way in regards to research partnerships. However, in terms of IP and commercialisation, the number of spin-outs </w:t>
      </w:r>
      <w:r w:rsidR="00F77152">
        <w:rPr>
          <w:highlight w:val="yellow"/>
        </w:rPr>
        <w:t>varies</w:t>
      </w:r>
      <w:r w:rsidR="008570B0">
        <w:rPr>
          <w:highlight w:val="yellow"/>
        </w:rPr>
        <w:t xml:space="preserve"> dramatically, so the clustering approach is not so useful in this instance.</w:t>
      </w:r>
    </w:p>
    <w:p w14:paraId="0B91B0F5" w14:textId="77777777" w:rsidR="008570B0" w:rsidRDefault="008570B0" w:rsidP="00E03E53">
      <w:pPr>
        <w:pStyle w:val="ListParagraph"/>
        <w:ind w:left="360"/>
        <w:rPr>
          <w:highlight w:val="yellow"/>
        </w:rPr>
      </w:pPr>
    </w:p>
    <w:p w14:paraId="27B5A84E" w14:textId="5C8A753C" w:rsidR="00253931" w:rsidRDefault="00F77152" w:rsidP="00E03E53">
      <w:pPr>
        <w:pStyle w:val="ListParagraph"/>
        <w:ind w:left="360"/>
        <w:rPr>
          <w:highlight w:val="yellow"/>
        </w:rPr>
      </w:pPr>
      <w:r>
        <w:rPr>
          <w:highlight w:val="yellow"/>
        </w:rPr>
        <w:t>In the absence of provisions to allow an institution to nominate itself (with appropriate evidence) to a particular cluster, perverse incentives may apply</w:t>
      </w:r>
      <w:r w:rsidR="00253931">
        <w:rPr>
          <w:highlight w:val="yellow"/>
        </w:rPr>
        <w:t>, possible leading to effects which the KEF was not intended to produce.</w:t>
      </w:r>
    </w:p>
    <w:p w14:paraId="46C058A3" w14:textId="77777777" w:rsidR="00253931" w:rsidRDefault="00253931" w:rsidP="00E03E53">
      <w:pPr>
        <w:pStyle w:val="ListParagraph"/>
        <w:ind w:left="360"/>
        <w:rPr>
          <w:highlight w:val="yellow"/>
        </w:rPr>
      </w:pPr>
    </w:p>
    <w:p w14:paraId="774C0A48" w14:textId="478A824D" w:rsidR="00E03E53" w:rsidRDefault="00253931" w:rsidP="00E03E53">
      <w:pPr>
        <w:pStyle w:val="ListParagraph"/>
        <w:ind w:left="360"/>
      </w:pPr>
      <w:r>
        <w:rPr>
          <w:highlight w:val="yellow"/>
        </w:rPr>
        <w:t xml:space="preserve"> </w:t>
      </w:r>
      <w:r w:rsidR="00823A18" w:rsidRPr="00EF5041">
        <w:rPr>
          <w:highlight w:val="yellow"/>
        </w:rPr>
        <w:t>In terms of the usefulness for the public, the naming of each cluster should clea</w:t>
      </w:r>
      <w:r w:rsidR="008570B0">
        <w:rPr>
          <w:highlight w:val="yellow"/>
        </w:rPr>
        <w:t>rly state its function, t</w:t>
      </w:r>
      <w:r w:rsidR="00B41F13" w:rsidRPr="00EF5041">
        <w:rPr>
          <w:highlight w:val="yellow"/>
        </w:rPr>
        <w:t>his will remove any ambiguity relating to the purpose of the exercise.</w:t>
      </w:r>
      <w:r w:rsidR="00B41F13">
        <w:t xml:space="preserve"> </w:t>
      </w:r>
    </w:p>
    <w:p w14:paraId="646A84FE" w14:textId="77777777" w:rsidR="006C47CF" w:rsidRDefault="0065579A" w:rsidP="000E0406">
      <w:pPr>
        <w:rPr>
          <w:b/>
        </w:rPr>
      </w:pPr>
      <w:r>
        <w:rPr>
          <w:b/>
        </w:rPr>
        <w:t>7</w:t>
      </w:r>
      <w:r w:rsidRPr="00507CA4">
        <w:rPr>
          <w:b/>
        </w:rPr>
        <w:t xml:space="preserve">. </w:t>
      </w:r>
      <w:r w:rsidR="00BA2C47">
        <w:rPr>
          <w:b/>
        </w:rPr>
        <w:t>Perspectives and metrics</w:t>
      </w:r>
    </w:p>
    <w:p w14:paraId="3142C91F" w14:textId="5F111386" w:rsidR="0065579A" w:rsidRDefault="000E0406" w:rsidP="000E0406">
      <w:pPr>
        <w:rPr>
          <w:b/>
        </w:rPr>
      </w:pPr>
      <w:r w:rsidRPr="000E0406">
        <w:rPr>
          <w:b/>
        </w:rPr>
        <w:t>Knowledge exchange covers an extremely diverse range of activity and it is appropriate that</w:t>
      </w:r>
      <w:r>
        <w:rPr>
          <w:b/>
        </w:rPr>
        <w:t xml:space="preserve"> </w:t>
      </w:r>
      <w:r w:rsidRPr="000E0406">
        <w:rPr>
          <w:b/>
        </w:rPr>
        <w:t>some HEIs will perform more strongly in different areas that align more closely with their mission</w:t>
      </w:r>
      <w:r>
        <w:rPr>
          <w:b/>
        </w:rPr>
        <w:t xml:space="preserve"> </w:t>
      </w:r>
      <w:r w:rsidRPr="000E0406">
        <w:rPr>
          <w:b/>
        </w:rPr>
        <w:t>and strategic goals. We have therefore proposed a range of seven perspectives. The following</w:t>
      </w:r>
      <w:r>
        <w:rPr>
          <w:b/>
        </w:rPr>
        <w:t xml:space="preserve"> </w:t>
      </w:r>
      <w:r w:rsidRPr="000E0406">
        <w:rPr>
          <w:b/>
        </w:rPr>
        <w:t>questions will seek your views on the number and range of perspectives and metrics proposed.</w:t>
      </w:r>
    </w:p>
    <w:p w14:paraId="6AA32715" w14:textId="4CD79F9E" w:rsidR="00F77FDB" w:rsidRDefault="00F77FDB" w:rsidP="00F77FDB">
      <w:pPr>
        <w:autoSpaceDE w:val="0"/>
        <w:autoSpaceDN w:val="0"/>
        <w:adjustRightInd w:val="0"/>
        <w:spacing w:after="0" w:line="240" w:lineRule="auto"/>
        <w:rPr>
          <w:b/>
        </w:rPr>
      </w:pPr>
      <w:r w:rsidRPr="00F77FDB">
        <w:rPr>
          <w:b/>
        </w:rPr>
        <w:t>Perspectives</w:t>
      </w:r>
    </w:p>
    <w:p w14:paraId="07134974" w14:textId="77777777" w:rsidR="00F77FDB" w:rsidRPr="00F77FDB" w:rsidRDefault="00F77FDB" w:rsidP="00F77FDB">
      <w:pPr>
        <w:autoSpaceDE w:val="0"/>
        <w:autoSpaceDN w:val="0"/>
        <w:adjustRightInd w:val="0"/>
        <w:spacing w:after="0" w:line="240" w:lineRule="auto"/>
        <w:rPr>
          <w:b/>
        </w:rPr>
      </w:pPr>
    </w:p>
    <w:p w14:paraId="101F5149" w14:textId="1E52B3BF"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t>Research partnerships</w:t>
      </w:r>
    </w:p>
    <w:p w14:paraId="1C7E0C47" w14:textId="09D63265"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t>Working with business</w:t>
      </w:r>
    </w:p>
    <w:p w14:paraId="2AA9C075" w14:textId="3FF72433"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t>Working with the public and third sector</w:t>
      </w:r>
    </w:p>
    <w:p w14:paraId="4D4918FA" w14:textId="056482E5"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t>Skills, enterprise and entrepreneurship</w:t>
      </w:r>
    </w:p>
    <w:p w14:paraId="08500BCF" w14:textId="64AE2CAB"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lastRenderedPageBreak/>
        <w:t>Local growth and regeneration</w:t>
      </w:r>
    </w:p>
    <w:p w14:paraId="01E1C7A4" w14:textId="29ADFE61" w:rsidR="00F77FDB" w:rsidRPr="00F77FDB" w:rsidRDefault="00F77FDB" w:rsidP="00F77FDB">
      <w:pPr>
        <w:pStyle w:val="ListParagraph"/>
        <w:numPr>
          <w:ilvl w:val="0"/>
          <w:numId w:val="13"/>
        </w:numPr>
        <w:autoSpaceDE w:val="0"/>
        <w:autoSpaceDN w:val="0"/>
        <w:adjustRightInd w:val="0"/>
        <w:spacing w:after="0" w:line="240" w:lineRule="auto"/>
        <w:rPr>
          <w:b/>
        </w:rPr>
      </w:pPr>
      <w:r w:rsidRPr="00F77FDB">
        <w:rPr>
          <w:b/>
        </w:rPr>
        <w:t>IP and commercialisation</w:t>
      </w:r>
    </w:p>
    <w:p w14:paraId="2D26E8DA" w14:textId="33560745" w:rsidR="00F77FDB" w:rsidRPr="00F77FDB" w:rsidRDefault="00F77FDB" w:rsidP="00F77FDB">
      <w:pPr>
        <w:pStyle w:val="ListParagraph"/>
        <w:numPr>
          <w:ilvl w:val="0"/>
          <w:numId w:val="13"/>
        </w:numPr>
        <w:rPr>
          <w:b/>
        </w:rPr>
      </w:pPr>
      <w:r w:rsidRPr="00F77FDB">
        <w:rPr>
          <w:b/>
        </w:rPr>
        <w:t>Public and community engagement</w:t>
      </w:r>
    </w:p>
    <w:p w14:paraId="174ACA53" w14:textId="088319D9" w:rsidR="000E0406" w:rsidRPr="000E0406" w:rsidRDefault="000E0406" w:rsidP="000E0406">
      <w:pPr>
        <w:spacing w:after="0"/>
        <w:rPr>
          <w:b/>
        </w:rPr>
      </w:pPr>
      <w:r w:rsidRPr="000E0406">
        <w:rPr>
          <w:b/>
        </w:rPr>
        <w:t>Taking into account</w:t>
      </w:r>
      <w:r>
        <w:rPr>
          <w:b/>
        </w:rPr>
        <w:t xml:space="preserve"> </w:t>
      </w:r>
      <w:r w:rsidRPr="000E0406">
        <w:rPr>
          <w:b/>
        </w:rPr>
        <w:t>the overall range of perspectives and metrics outlined in the consultation</w:t>
      </w:r>
    </w:p>
    <w:p w14:paraId="04EB03EB" w14:textId="3D2562CA" w:rsidR="000E0406" w:rsidRDefault="000E0406" w:rsidP="000E0406">
      <w:pPr>
        <w:spacing w:after="0"/>
        <w:rPr>
          <w:b/>
        </w:rPr>
      </w:pPr>
      <w:r w:rsidRPr="000E0406">
        <w:rPr>
          <w:b/>
        </w:rPr>
        <w:t>document, do you agree or disagree that a sufficiently broad range of KE activities is captured.</w:t>
      </w:r>
      <w:r>
        <w:rPr>
          <w:b/>
        </w:rPr>
        <w:t xml:space="preserve"> Comments.</w:t>
      </w:r>
    </w:p>
    <w:p w14:paraId="4701FACE" w14:textId="77777777" w:rsidR="000E0406" w:rsidRDefault="000E0406" w:rsidP="000E0406">
      <w:pPr>
        <w:pStyle w:val="ListParagraph"/>
        <w:ind w:left="360"/>
      </w:pPr>
    </w:p>
    <w:p w14:paraId="31FF7FA9" w14:textId="77777777" w:rsidR="000E0406" w:rsidRDefault="000E0406" w:rsidP="000E0406">
      <w:pPr>
        <w:pStyle w:val="ListParagraph"/>
        <w:ind w:left="360"/>
      </w:pPr>
      <w:bookmarkStart w:id="2" w:name="_Hlk534970550"/>
      <w:r w:rsidRPr="00072AEC">
        <w:t>Strongly disagre</w:t>
      </w:r>
      <w:r>
        <w:t>e</w:t>
      </w:r>
    </w:p>
    <w:p w14:paraId="31D15388" w14:textId="77777777" w:rsidR="000E0406" w:rsidRDefault="000E0406" w:rsidP="000E0406">
      <w:pPr>
        <w:pStyle w:val="ListParagraph"/>
        <w:ind w:left="360"/>
      </w:pPr>
      <w:r w:rsidRPr="00072AEC">
        <w:t>Disagree</w:t>
      </w:r>
    </w:p>
    <w:p w14:paraId="467E59C7" w14:textId="77777777" w:rsidR="000E0406" w:rsidRDefault="000E0406" w:rsidP="000E0406">
      <w:pPr>
        <w:pStyle w:val="ListParagraph"/>
        <w:ind w:left="360"/>
      </w:pPr>
      <w:r w:rsidRPr="00072AEC">
        <w:t>Somewhat disagree</w:t>
      </w:r>
    </w:p>
    <w:p w14:paraId="78470B2B" w14:textId="77777777" w:rsidR="000E0406" w:rsidRDefault="000E0406" w:rsidP="000E0406">
      <w:pPr>
        <w:pStyle w:val="ListParagraph"/>
        <w:ind w:left="360"/>
      </w:pPr>
      <w:r w:rsidRPr="003B3245">
        <w:rPr>
          <w:highlight w:val="yellow"/>
        </w:rPr>
        <w:t>Somewhat agree</w:t>
      </w:r>
    </w:p>
    <w:p w14:paraId="588475B1" w14:textId="77777777" w:rsidR="000E0406" w:rsidRDefault="000E0406" w:rsidP="000E0406">
      <w:pPr>
        <w:pStyle w:val="ListParagraph"/>
        <w:ind w:left="360"/>
      </w:pPr>
      <w:r w:rsidRPr="00072AEC">
        <w:t>Agree</w:t>
      </w:r>
    </w:p>
    <w:p w14:paraId="6CA3F7EA" w14:textId="77777777" w:rsidR="000E0406" w:rsidRDefault="000E0406" w:rsidP="000E0406">
      <w:pPr>
        <w:pStyle w:val="ListParagraph"/>
        <w:ind w:left="360"/>
      </w:pPr>
      <w:r w:rsidRPr="00072AEC">
        <w:t>Strongly agree</w:t>
      </w:r>
    </w:p>
    <w:bookmarkEnd w:id="2"/>
    <w:p w14:paraId="696ACC6F" w14:textId="77777777" w:rsidR="000E0406" w:rsidRDefault="000E0406" w:rsidP="000E0406">
      <w:pPr>
        <w:pStyle w:val="ListParagraph"/>
        <w:ind w:left="360"/>
      </w:pPr>
      <w:r w:rsidRPr="00072AEC">
        <w:t>No opinion</w:t>
      </w:r>
    </w:p>
    <w:p w14:paraId="198F1712" w14:textId="77777777" w:rsidR="000E0406" w:rsidRDefault="000E0406" w:rsidP="0065579A">
      <w:pPr>
        <w:pStyle w:val="ListParagraph"/>
        <w:ind w:left="360"/>
      </w:pPr>
    </w:p>
    <w:p w14:paraId="6A2A866C" w14:textId="271F1579" w:rsidR="0065579A" w:rsidRDefault="003B3245" w:rsidP="007C5B28">
      <w:pPr>
        <w:pStyle w:val="ListParagraph"/>
        <w:ind w:left="360"/>
      </w:pPr>
      <w:r w:rsidRPr="00EF5041">
        <w:rPr>
          <w:highlight w:val="yellow"/>
        </w:rPr>
        <w:t>We consider that the KEF is likely to be most successful if it has a clear focus on activities which transfer knowledge from HEIs to businesses, charities and the state in order to drive economic growth and well-being through the development of new product</w:t>
      </w:r>
      <w:r w:rsidR="00727461">
        <w:rPr>
          <w:highlight w:val="yellow"/>
        </w:rPr>
        <w:t>s, services and policies. We consider p</w:t>
      </w:r>
      <w:r w:rsidRPr="00EF5041">
        <w:rPr>
          <w:highlight w:val="yellow"/>
        </w:rPr>
        <w:t xml:space="preserve">ublic </w:t>
      </w:r>
      <w:r w:rsidR="00727461">
        <w:rPr>
          <w:highlight w:val="yellow"/>
        </w:rPr>
        <w:t xml:space="preserve">engagement to be important, but it is </w:t>
      </w:r>
      <w:r w:rsidR="00727461" w:rsidRPr="00BB574F">
        <w:rPr>
          <w:highlight w:val="yellow"/>
        </w:rPr>
        <w:t>different from the other categories</w:t>
      </w:r>
      <w:r w:rsidR="00BB574F">
        <w:rPr>
          <w:highlight w:val="yellow"/>
        </w:rPr>
        <w:t>,</w:t>
      </w:r>
      <w:r w:rsidR="00BB574F" w:rsidRPr="00BB574F">
        <w:rPr>
          <w:highlight w:val="yellow"/>
        </w:rPr>
        <w:t xml:space="preserve"> and reporting comparisons with them is not easy</w:t>
      </w:r>
      <w:r w:rsidRPr="00BB574F">
        <w:rPr>
          <w:highlight w:val="yellow"/>
        </w:rPr>
        <w:t>.</w:t>
      </w:r>
      <w:r w:rsidR="007C5B28" w:rsidRPr="00BB574F">
        <w:rPr>
          <w:highlight w:val="yellow"/>
        </w:rPr>
        <w:t xml:space="preserve"> </w:t>
      </w:r>
      <w:r w:rsidR="007C5B28" w:rsidRPr="00EF5041">
        <w:rPr>
          <w:highlight w:val="yellow"/>
        </w:rPr>
        <w:t>One of the most important mechanisms for Knowledge Exchange is the employment of graduates in roles where they will directly use the skills and knowledge that they have acquired in their degrees. The new Graduate Outcomes survey contains a question to capture this information, and could therefore be a source of a relevant metric.</w:t>
      </w:r>
    </w:p>
    <w:p w14:paraId="3BCBDA2B" w14:textId="7DF7FA15" w:rsidR="000E0406" w:rsidRDefault="000E0406" w:rsidP="000E0406">
      <w:pPr>
        <w:pStyle w:val="ListParagraph"/>
        <w:ind w:left="360"/>
      </w:pPr>
    </w:p>
    <w:p w14:paraId="34C4066D" w14:textId="77777777" w:rsidR="000E0406" w:rsidRPr="006C47CF" w:rsidRDefault="000E0406" w:rsidP="000E0406">
      <w:pPr>
        <w:autoSpaceDE w:val="0"/>
        <w:autoSpaceDN w:val="0"/>
        <w:adjustRightInd w:val="0"/>
        <w:spacing w:after="0" w:line="240" w:lineRule="auto"/>
        <w:rPr>
          <w:b/>
        </w:rPr>
      </w:pPr>
      <w:r w:rsidRPr="006C47CF">
        <w:rPr>
          <w:b/>
        </w:rPr>
        <w:t>Taking into account the range of metrics outlined in the consultation document, please</w:t>
      </w:r>
    </w:p>
    <w:p w14:paraId="5F3753FE" w14:textId="77777777" w:rsidR="000E0406" w:rsidRPr="006C47CF" w:rsidRDefault="000E0406" w:rsidP="000E0406">
      <w:pPr>
        <w:autoSpaceDE w:val="0"/>
        <w:autoSpaceDN w:val="0"/>
        <w:adjustRightInd w:val="0"/>
        <w:spacing w:after="0" w:line="240" w:lineRule="auto"/>
        <w:rPr>
          <w:b/>
        </w:rPr>
      </w:pPr>
      <w:r w:rsidRPr="006C47CF">
        <w:rPr>
          <w:b/>
        </w:rPr>
        <w:t>indicate [using a % sliding scale] whether you consider that they adequately represent</w:t>
      </w:r>
    </w:p>
    <w:p w14:paraId="689E33A7" w14:textId="3069F7DA" w:rsidR="000E0406" w:rsidRPr="006C47CF" w:rsidRDefault="000E0406" w:rsidP="00B95D4C">
      <w:pPr>
        <w:autoSpaceDE w:val="0"/>
        <w:autoSpaceDN w:val="0"/>
        <w:adjustRightInd w:val="0"/>
        <w:spacing w:after="0" w:line="240" w:lineRule="auto"/>
        <w:rPr>
          <w:b/>
        </w:rPr>
      </w:pPr>
      <w:r w:rsidRPr="006C47CF">
        <w:rPr>
          <w:b/>
        </w:rPr>
        <w:t>performance in each of the proposed perspectives</w:t>
      </w:r>
      <w:r w:rsidR="00F77FDB">
        <w:rPr>
          <w:b/>
        </w:rPr>
        <w:t>/</w:t>
      </w:r>
      <w:r w:rsidR="00B95D4C" w:rsidRPr="006C47CF">
        <w:rPr>
          <w:b/>
        </w:rPr>
        <w:t xml:space="preserve"> Taking into account the range of metrics outlined in the consultation document for this perspective, please provided any comments on the balance and coverage of the proposed metrics. (400-word limit).</w:t>
      </w:r>
    </w:p>
    <w:p w14:paraId="50556EEA" w14:textId="77777777" w:rsidR="000E0406" w:rsidRDefault="000E0406" w:rsidP="000E0406">
      <w:pPr>
        <w:autoSpaceDE w:val="0"/>
        <w:autoSpaceDN w:val="0"/>
        <w:adjustRightInd w:val="0"/>
        <w:spacing w:after="0" w:line="240" w:lineRule="auto"/>
        <w:rPr>
          <w:rFonts w:ascii="Arial" w:hAnsi="Arial" w:cs="Arial"/>
          <w:b/>
          <w:bCs/>
          <w:sz w:val="21"/>
          <w:szCs w:val="21"/>
        </w:rPr>
      </w:pPr>
    </w:p>
    <w:p w14:paraId="18307B97" w14:textId="51FA2EDF" w:rsidR="000E0406" w:rsidRDefault="000E0406" w:rsidP="000E0406">
      <w:pPr>
        <w:pStyle w:val="ListParagraph"/>
        <w:ind w:left="360"/>
        <w:rPr>
          <w:b/>
        </w:rPr>
      </w:pPr>
      <w:r w:rsidRPr="000E0406">
        <w:rPr>
          <w:b/>
        </w:rPr>
        <w:t>Research partnerships</w:t>
      </w:r>
    </w:p>
    <w:p w14:paraId="17BD6628" w14:textId="1E0098CB" w:rsidR="00B220FA" w:rsidRPr="00B220FA" w:rsidRDefault="00B220FA" w:rsidP="00B220FA">
      <w:pPr>
        <w:pStyle w:val="ListParagraph"/>
        <w:numPr>
          <w:ilvl w:val="0"/>
          <w:numId w:val="14"/>
        </w:numPr>
        <w:rPr>
          <w:b/>
        </w:rPr>
      </w:pPr>
      <w:r w:rsidRPr="00B220FA">
        <w:rPr>
          <w:b/>
        </w:rPr>
        <w:t>Contribution to collaborative research (cash</w:t>
      </w:r>
      <w:r>
        <w:rPr>
          <w:b/>
        </w:rPr>
        <w:t xml:space="preserve"> </w:t>
      </w:r>
      <w:r w:rsidRPr="00B220FA">
        <w:rPr>
          <w:b/>
        </w:rPr>
        <w:t>and in-kind) as proportion of public funding</w:t>
      </w:r>
      <w:r>
        <w:rPr>
          <w:b/>
        </w:rPr>
        <w:t xml:space="preserve"> </w:t>
      </w:r>
      <w:r w:rsidRPr="00B220FA">
        <w:rPr>
          <w:b/>
        </w:rPr>
        <w:t>(HE-BCI table 1a)</w:t>
      </w:r>
    </w:p>
    <w:p w14:paraId="05E4F935" w14:textId="5BF2BD22" w:rsidR="00B220FA" w:rsidRPr="00B220FA" w:rsidRDefault="00B220FA" w:rsidP="00B220FA">
      <w:pPr>
        <w:pStyle w:val="ListParagraph"/>
        <w:numPr>
          <w:ilvl w:val="0"/>
          <w:numId w:val="14"/>
        </w:numPr>
        <w:rPr>
          <w:b/>
        </w:rPr>
      </w:pPr>
      <w:r w:rsidRPr="00B220FA">
        <w:rPr>
          <w:b/>
        </w:rPr>
        <w:t>Co-authorship with non-academic partners as</w:t>
      </w:r>
      <w:r>
        <w:rPr>
          <w:b/>
        </w:rPr>
        <w:t xml:space="preserve"> </w:t>
      </w:r>
      <w:r w:rsidRPr="00B220FA">
        <w:rPr>
          <w:b/>
        </w:rPr>
        <w:t>a proportion of total outputs (data provider</w:t>
      </w:r>
      <w:r>
        <w:rPr>
          <w:b/>
        </w:rPr>
        <w:t xml:space="preserve"> </w:t>
      </w:r>
      <w:r w:rsidRPr="00B220FA">
        <w:rPr>
          <w:b/>
        </w:rPr>
        <w:t>TBD)</w:t>
      </w:r>
    </w:p>
    <w:p w14:paraId="7192C394" w14:textId="2665F0F7" w:rsidR="000E0406" w:rsidRDefault="000E0406" w:rsidP="000E0406">
      <w:pPr>
        <w:pStyle w:val="ListParagraph"/>
        <w:ind w:left="360"/>
        <w:rPr>
          <w:b/>
        </w:rPr>
      </w:pPr>
    </w:p>
    <w:p w14:paraId="706932FD" w14:textId="53380BCB" w:rsidR="008B3650" w:rsidRPr="00EF5041" w:rsidRDefault="00A71BFD" w:rsidP="000E0406">
      <w:pPr>
        <w:pStyle w:val="ListParagraph"/>
        <w:ind w:left="360"/>
        <w:rPr>
          <w:highlight w:val="yellow"/>
        </w:rPr>
      </w:pPr>
      <w:r>
        <w:rPr>
          <w:highlight w:val="yellow"/>
        </w:rPr>
        <w:t>75</w:t>
      </w:r>
      <w:r w:rsidR="008B3650" w:rsidRPr="00EF5041">
        <w:rPr>
          <w:highlight w:val="yellow"/>
        </w:rPr>
        <w:t>%.</w:t>
      </w:r>
    </w:p>
    <w:p w14:paraId="77A0EDF5" w14:textId="024CE7E7" w:rsidR="002E50BF" w:rsidRDefault="007E030C" w:rsidP="000E0406">
      <w:pPr>
        <w:pStyle w:val="ListParagraph"/>
        <w:ind w:left="360"/>
        <w:rPr>
          <w:highlight w:val="yellow"/>
        </w:rPr>
      </w:pPr>
      <w:r w:rsidRPr="00EF5041">
        <w:rPr>
          <w:highlight w:val="yellow"/>
        </w:rPr>
        <w:t xml:space="preserve">It is agreed that ‘Contribution to collaborative research’ metric </w:t>
      </w:r>
      <w:r w:rsidR="00117146" w:rsidRPr="00EF5041">
        <w:rPr>
          <w:highlight w:val="yellow"/>
        </w:rPr>
        <w:t>should be included. It is not currently used to determine HEIF, however the College feels that the</w:t>
      </w:r>
      <w:r w:rsidRPr="00EF5041">
        <w:rPr>
          <w:highlight w:val="yellow"/>
        </w:rPr>
        <w:t>re should not be a</w:t>
      </w:r>
      <w:r w:rsidR="00117146" w:rsidRPr="00EF5041">
        <w:rPr>
          <w:highlight w:val="yellow"/>
        </w:rPr>
        <w:t xml:space="preserve"> distinction </w:t>
      </w:r>
      <w:r w:rsidR="00117146" w:rsidRPr="00E21307">
        <w:rPr>
          <w:highlight w:val="yellow"/>
        </w:rPr>
        <w:t>between collaborative research and contract research</w:t>
      </w:r>
      <w:r w:rsidR="00B640BD" w:rsidRPr="00E21307">
        <w:rPr>
          <w:highlight w:val="yellow"/>
        </w:rPr>
        <w:t xml:space="preserve"> in determining HEIF</w:t>
      </w:r>
      <w:r w:rsidR="00117146" w:rsidRPr="00E21307">
        <w:rPr>
          <w:highlight w:val="yellow"/>
        </w:rPr>
        <w:t>.</w:t>
      </w:r>
      <w:r w:rsidR="00A71BFD">
        <w:rPr>
          <w:highlight w:val="yellow"/>
        </w:rPr>
        <w:t xml:space="preserve"> However, the College recognises that there are issues with ‘in kind’ contributions being reported using different methodologies by different institutions, so this issue would need to be addressed first.</w:t>
      </w:r>
    </w:p>
    <w:p w14:paraId="6CE09027" w14:textId="77777777" w:rsidR="002E50BF" w:rsidRDefault="002E50BF" w:rsidP="000E0406">
      <w:pPr>
        <w:pStyle w:val="ListParagraph"/>
        <w:ind w:left="360"/>
        <w:rPr>
          <w:highlight w:val="yellow"/>
        </w:rPr>
      </w:pPr>
    </w:p>
    <w:p w14:paraId="2FD9F24C" w14:textId="4BD07C10" w:rsidR="000E0406" w:rsidRPr="000E0406" w:rsidRDefault="00E21307" w:rsidP="000E0406">
      <w:pPr>
        <w:pStyle w:val="ListParagraph"/>
        <w:ind w:left="360"/>
      </w:pPr>
      <w:r w:rsidRPr="00E21307">
        <w:rPr>
          <w:highlight w:val="yellow"/>
        </w:rPr>
        <w:t>Co-authorship with non-acade</w:t>
      </w:r>
      <w:r>
        <w:rPr>
          <w:highlight w:val="yellow"/>
        </w:rPr>
        <w:t>mic partners is easy to game,</w:t>
      </w:r>
      <w:r w:rsidRPr="00E21307">
        <w:rPr>
          <w:highlight w:val="yellow"/>
        </w:rPr>
        <w:t xml:space="preserve"> will be open to abuse and hard to validate, and because of this there is a risk that the metric will not be </w:t>
      </w:r>
      <w:r>
        <w:rPr>
          <w:highlight w:val="yellow"/>
        </w:rPr>
        <w:t>particularly meaningful, but</w:t>
      </w:r>
      <w:r w:rsidR="002E50BF">
        <w:rPr>
          <w:highlight w:val="yellow"/>
        </w:rPr>
        <w:t xml:space="preserve"> just easy to count. In addition to this, the rate of co-authorship with non-academic partners </w:t>
      </w:r>
      <w:r w:rsidR="002E50BF">
        <w:rPr>
          <w:highlight w:val="yellow"/>
        </w:rPr>
        <w:lastRenderedPageBreak/>
        <w:t xml:space="preserve">can vary a lot between different industries. The pharmaceutical industry is, for example, far more willing to publish the results of research in papers than (for example) the automotive and aeronautical industries. For this reason, counting the outputs should be complemented with a narrative statement to explain with what types of industries the institution tends to engage with. </w:t>
      </w:r>
    </w:p>
    <w:p w14:paraId="11DD6E4F" w14:textId="77777777" w:rsidR="000E0406" w:rsidRPr="000E0406" w:rsidRDefault="000E0406" w:rsidP="000E0406">
      <w:pPr>
        <w:pStyle w:val="ListParagraph"/>
        <w:ind w:left="360"/>
        <w:rPr>
          <w:b/>
        </w:rPr>
      </w:pPr>
    </w:p>
    <w:p w14:paraId="1702153E" w14:textId="76DD85A4" w:rsidR="000E0406" w:rsidRDefault="000E0406" w:rsidP="000E0406">
      <w:pPr>
        <w:pStyle w:val="ListParagraph"/>
        <w:ind w:left="360"/>
        <w:rPr>
          <w:b/>
        </w:rPr>
      </w:pPr>
      <w:r w:rsidRPr="000E0406">
        <w:rPr>
          <w:b/>
        </w:rPr>
        <w:t>Working with business</w:t>
      </w:r>
    </w:p>
    <w:p w14:paraId="2C281075" w14:textId="6A889CD7" w:rsidR="00B220FA" w:rsidRPr="00B220FA" w:rsidRDefault="00B220FA" w:rsidP="00B220FA">
      <w:pPr>
        <w:pStyle w:val="ListParagraph"/>
        <w:numPr>
          <w:ilvl w:val="0"/>
          <w:numId w:val="15"/>
        </w:numPr>
        <w:rPr>
          <w:b/>
        </w:rPr>
      </w:pPr>
      <w:r w:rsidRPr="00B220FA">
        <w:rPr>
          <w:b/>
        </w:rPr>
        <w:t>Innovate UK income (KTP and grant) as</w:t>
      </w:r>
      <w:r>
        <w:rPr>
          <w:b/>
        </w:rPr>
        <w:t xml:space="preserve"> </w:t>
      </w:r>
      <w:r w:rsidRPr="00B220FA">
        <w:rPr>
          <w:b/>
        </w:rPr>
        <w:t>proportion of research income (Innovate UK)</w:t>
      </w:r>
    </w:p>
    <w:p w14:paraId="2439AB12" w14:textId="71BC450B" w:rsidR="00B220FA" w:rsidRPr="00B220FA" w:rsidRDefault="00B220FA" w:rsidP="00B220FA">
      <w:pPr>
        <w:pStyle w:val="ListParagraph"/>
        <w:numPr>
          <w:ilvl w:val="0"/>
          <w:numId w:val="15"/>
        </w:numPr>
        <w:rPr>
          <w:b/>
        </w:rPr>
      </w:pPr>
      <w:r w:rsidRPr="00B220FA">
        <w:rPr>
          <w:b/>
        </w:rPr>
        <w:t>Contract research income with businesses per</w:t>
      </w:r>
      <w:r>
        <w:rPr>
          <w:b/>
        </w:rPr>
        <w:t xml:space="preserve"> </w:t>
      </w:r>
      <w:r w:rsidRPr="00B220FA">
        <w:rPr>
          <w:b/>
        </w:rPr>
        <w:t>academic FTE (HE-BCI table 1b)</w:t>
      </w:r>
    </w:p>
    <w:p w14:paraId="2B5CE695" w14:textId="5FAB2F10" w:rsidR="000E0406" w:rsidRDefault="00B220FA" w:rsidP="00B220FA">
      <w:pPr>
        <w:pStyle w:val="ListParagraph"/>
        <w:numPr>
          <w:ilvl w:val="0"/>
          <w:numId w:val="15"/>
        </w:numPr>
        <w:rPr>
          <w:b/>
        </w:rPr>
      </w:pPr>
      <w:r w:rsidRPr="00B220FA">
        <w:rPr>
          <w:b/>
        </w:rPr>
        <w:t>Consultancy income with businesses per</w:t>
      </w:r>
      <w:r>
        <w:rPr>
          <w:b/>
        </w:rPr>
        <w:t xml:space="preserve"> </w:t>
      </w:r>
      <w:r w:rsidRPr="00B220FA">
        <w:rPr>
          <w:b/>
        </w:rPr>
        <w:t>academic FTE (HE-BCI table 2)</w:t>
      </w:r>
    </w:p>
    <w:p w14:paraId="45395F3D" w14:textId="77777777" w:rsidR="00B220FA" w:rsidRPr="00B220FA" w:rsidRDefault="00B220FA" w:rsidP="00B220FA">
      <w:pPr>
        <w:pStyle w:val="ListParagraph"/>
        <w:ind w:left="1080"/>
        <w:rPr>
          <w:b/>
        </w:rPr>
      </w:pPr>
    </w:p>
    <w:p w14:paraId="58C1666E" w14:textId="5073891E" w:rsidR="008B3650" w:rsidRPr="00EF5041" w:rsidRDefault="00E21307" w:rsidP="007A7232">
      <w:pPr>
        <w:pStyle w:val="ListParagraph"/>
        <w:ind w:left="360"/>
        <w:rPr>
          <w:highlight w:val="yellow"/>
        </w:rPr>
      </w:pPr>
      <w:r>
        <w:rPr>
          <w:highlight w:val="yellow"/>
        </w:rPr>
        <w:t>50</w:t>
      </w:r>
      <w:r w:rsidR="008B3650" w:rsidRPr="00EF5041">
        <w:rPr>
          <w:highlight w:val="yellow"/>
        </w:rPr>
        <w:t>%.</w:t>
      </w:r>
    </w:p>
    <w:p w14:paraId="103A9868" w14:textId="2E0064DA" w:rsidR="007A7232" w:rsidRPr="000E0406" w:rsidRDefault="007C5B28" w:rsidP="007A7232">
      <w:pPr>
        <w:pStyle w:val="ListParagraph"/>
        <w:ind w:left="360"/>
      </w:pPr>
      <w:r w:rsidRPr="00EF5041">
        <w:rPr>
          <w:highlight w:val="yellow"/>
        </w:rPr>
        <w:t>Industrial income (as shown in the HESA FSR), as well as being an input measure, is a good proxy for the extent to which institutio</w:t>
      </w:r>
      <w:r w:rsidRPr="000C123D">
        <w:rPr>
          <w:highlight w:val="yellow"/>
        </w:rPr>
        <w:t>ns are responsive to the needs of industry and are delivering value to their industrial partners.</w:t>
      </w:r>
      <w:r w:rsidR="00575553" w:rsidRPr="000C123D">
        <w:rPr>
          <w:highlight w:val="yellow"/>
        </w:rPr>
        <w:t xml:space="preserve"> There is currently no metric here that links what we do with businesses in th</w:t>
      </w:r>
      <w:r w:rsidR="000C123D" w:rsidRPr="000C123D">
        <w:rPr>
          <w:highlight w:val="yellow"/>
        </w:rPr>
        <w:t>e region/regeneration space, for example there is</w:t>
      </w:r>
      <w:r w:rsidR="00575553" w:rsidRPr="000C123D">
        <w:rPr>
          <w:highlight w:val="yellow"/>
        </w:rPr>
        <w:t xml:space="preserve"> no recognition for developing local ecosystems and economies by supporting non-imperial College start-ups with incubation, investment, jobs created and business support. The only thing that can be claimed in this system would be rental income. This is where there is a cross over with “educational” outreach and “business” outreach.</w:t>
      </w:r>
    </w:p>
    <w:p w14:paraId="46980F0A" w14:textId="77777777" w:rsidR="000E0406" w:rsidRPr="000E0406" w:rsidRDefault="000E0406" w:rsidP="000E0406">
      <w:pPr>
        <w:pStyle w:val="ListParagraph"/>
        <w:ind w:left="360"/>
        <w:rPr>
          <w:b/>
        </w:rPr>
      </w:pPr>
    </w:p>
    <w:p w14:paraId="5453A0EA" w14:textId="77777777" w:rsidR="00F60413" w:rsidRDefault="000E0406" w:rsidP="00F60413">
      <w:pPr>
        <w:pStyle w:val="ListParagraph"/>
        <w:ind w:left="360"/>
        <w:rPr>
          <w:b/>
        </w:rPr>
      </w:pPr>
      <w:r w:rsidRPr="000E0406">
        <w:rPr>
          <w:b/>
        </w:rPr>
        <w:t>Working with the public and third sector</w:t>
      </w:r>
      <w:r w:rsidR="00B220FA">
        <w:rPr>
          <w:b/>
        </w:rPr>
        <w:t xml:space="preserve"> </w:t>
      </w:r>
    </w:p>
    <w:p w14:paraId="6127170B" w14:textId="56C4BB55" w:rsidR="00B220FA" w:rsidRPr="00B220FA" w:rsidRDefault="00B220FA" w:rsidP="00B220FA">
      <w:pPr>
        <w:pStyle w:val="ListParagraph"/>
        <w:numPr>
          <w:ilvl w:val="0"/>
          <w:numId w:val="16"/>
        </w:numPr>
        <w:rPr>
          <w:b/>
        </w:rPr>
      </w:pPr>
      <w:r w:rsidRPr="00B220FA">
        <w:rPr>
          <w:b/>
        </w:rPr>
        <w:t>HE-BCI contract research income with the public and third sector per academic FTE (HEBCI</w:t>
      </w:r>
      <w:r w:rsidR="007E030C">
        <w:rPr>
          <w:b/>
        </w:rPr>
        <w:t xml:space="preserve"> </w:t>
      </w:r>
      <w:r w:rsidRPr="00B220FA">
        <w:rPr>
          <w:b/>
        </w:rPr>
        <w:t>table 1b)</w:t>
      </w:r>
    </w:p>
    <w:p w14:paraId="70082663" w14:textId="46F00041" w:rsidR="000E0406" w:rsidRDefault="00B220FA" w:rsidP="00B220FA">
      <w:pPr>
        <w:pStyle w:val="ListParagraph"/>
        <w:numPr>
          <w:ilvl w:val="0"/>
          <w:numId w:val="16"/>
        </w:numPr>
        <w:spacing w:after="0"/>
        <w:rPr>
          <w:b/>
        </w:rPr>
      </w:pPr>
      <w:r w:rsidRPr="00B220FA">
        <w:rPr>
          <w:b/>
        </w:rPr>
        <w:t>HE-BCI Consultancy income with the public</w:t>
      </w:r>
      <w:r>
        <w:rPr>
          <w:b/>
        </w:rPr>
        <w:t xml:space="preserve"> </w:t>
      </w:r>
      <w:r w:rsidR="00F60413">
        <w:rPr>
          <w:b/>
        </w:rPr>
        <w:t>and third s</w:t>
      </w:r>
      <w:r w:rsidRPr="00B220FA">
        <w:rPr>
          <w:b/>
        </w:rPr>
        <w:t>ector per academic FTE (HE-BCI table 2)</w:t>
      </w:r>
    </w:p>
    <w:p w14:paraId="66A53351" w14:textId="77777777" w:rsidR="00B220FA" w:rsidRPr="00B220FA" w:rsidRDefault="00B220FA" w:rsidP="00B220FA">
      <w:pPr>
        <w:pStyle w:val="ListParagraph"/>
        <w:spacing w:after="0"/>
        <w:ind w:left="1080"/>
        <w:rPr>
          <w:b/>
        </w:rPr>
      </w:pPr>
    </w:p>
    <w:p w14:paraId="12B950D5" w14:textId="77777777" w:rsidR="008B3650" w:rsidRPr="00EF5041" w:rsidRDefault="007C5B28" w:rsidP="00B220FA">
      <w:pPr>
        <w:pStyle w:val="ListParagraph"/>
        <w:spacing w:after="0"/>
        <w:ind w:left="360"/>
        <w:rPr>
          <w:highlight w:val="yellow"/>
        </w:rPr>
      </w:pPr>
      <w:r w:rsidRPr="00EF5041">
        <w:rPr>
          <w:highlight w:val="yellow"/>
        </w:rPr>
        <w:t>100</w:t>
      </w:r>
      <w:r w:rsidR="008B3650" w:rsidRPr="00EF5041">
        <w:rPr>
          <w:highlight w:val="yellow"/>
        </w:rPr>
        <w:t>%.</w:t>
      </w:r>
    </w:p>
    <w:p w14:paraId="69CC9E59" w14:textId="77C31995" w:rsidR="000E0406" w:rsidRPr="000E0406" w:rsidRDefault="007C5B28" w:rsidP="00B220FA">
      <w:pPr>
        <w:pStyle w:val="ListParagraph"/>
        <w:spacing w:after="0"/>
        <w:ind w:left="360"/>
      </w:pPr>
      <w:r w:rsidRPr="00EF5041">
        <w:rPr>
          <w:highlight w:val="yellow"/>
        </w:rPr>
        <w:t>The College feels that these two metrics capture its activities in working with the public and the third sector.</w:t>
      </w:r>
    </w:p>
    <w:p w14:paraId="60998761" w14:textId="77777777" w:rsidR="000E0406" w:rsidRPr="000E0406" w:rsidRDefault="000E0406" w:rsidP="000E0406">
      <w:pPr>
        <w:pStyle w:val="ListParagraph"/>
        <w:ind w:left="360"/>
        <w:rPr>
          <w:b/>
        </w:rPr>
      </w:pPr>
    </w:p>
    <w:p w14:paraId="7C06C77A" w14:textId="7CEB8514" w:rsidR="000E0406" w:rsidRDefault="000E0406" w:rsidP="000E0406">
      <w:pPr>
        <w:pStyle w:val="ListParagraph"/>
        <w:ind w:left="360"/>
        <w:rPr>
          <w:b/>
        </w:rPr>
      </w:pPr>
      <w:r w:rsidRPr="000E0406">
        <w:rPr>
          <w:b/>
        </w:rPr>
        <w:t>Skills, enterprise and entrepreneurship</w:t>
      </w:r>
    </w:p>
    <w:p w14:paraId="40851A67" w14:textId="0DA2AB8A" w:rsidR="00B220FA" w:rsidRPr="00B220FA" w:rsidRDefault="00B220FA" w:rsidP="00B220FA">
      <w:pPr>
        <w:pStyle w:val="ListParagraph"/>
        <w:numPr>
          <w:ilvl w:val="0"/>
          <w:numId w:val="17"/>
        </w:numPr>
        <w:rPr>
          <w:b/>
        </w:rPr>
      </w:pPr>
      <w:r w:rsidRPr="00B220FA">
        <w:rPr>
          <w:b/>
        </w:rPr>
        <w:t>HE-BCI CPD/CE income per academic FTE</w:t>
      </w:r>
      <w:r>
        <w:rPr>
          <w:b/>
        </w:rPr>
        <w:t xml:space="preserve"> </w:t>
      </w:r>
      <w:r w:rsidRPr="00B220FA">
        <w:rPr>
          <w:b/>
        </w:rPr>
        <w:t>(HE-BCI table 2)</w:t>
      </w:r>
    </w:p>
    <w:p w14:paraId="79204D92" w14:textId="1BACF7EE" w:rsidR="00B220FA" w:rsidRPr="00B220FA" w:rsidRDefault="00B220FA" w:rsidP="00B220FA">
      <w:pPr>
        <w:pStyle w:val="ListParagraph"/>
        <w:numPr>
          <w:ilvl w:val="0"/>
          <w:numId w:val="17"/>
        </w:numPr>
        <w:rPr>
          <w:b/>
        </w:rPr>
      </w:pPr>
      <w:r w:rsidRPr="00B220FA">
        <w:rPr>
          <w:b/>
        </w:rPr>
        <w:t>HE-BCI CPD/CE learner days delivered per</w:t>
      </w:r>
      <w:r>
        <w:rPr>
          <w:b/>
        </w:rPr>
        <w:t xml:space="preserve"> </w:t>
      </w:r>
      <w:r w:rsidRPr="00B220FA">
        <w:rPr>
          <w:b/>
        </w:rPr>
        <w:t>academic FTE (HE-BCI table 2)</w:t>
      </w:r>
    </w:p>
    <w:p w14:paraId="725D3F3B" w14:textId="2A0F8F6C" w:rsidR="000E0406" w:rsidRDefault="00B220FA" w:rsidP="00B220FA">
      <w:pPr>
        <w:pStyle w:val="ListParagraph"/>
        <w:numPr>
          <w:ilvl w:val="0"/>
          <w:numId w:val="17"/>
        </w:numPr>
        <w:rPr>
          <w:b/>
        </w:rPr>
      </w:pPr>
      <w:r w:rsidRPr="00B220FA">
        <w:rPr>
          <w:b/>
        </w:rPr>
        <w:t>HE-BCI Graduate start-ups rate by student</w:t>
      </w:r>
      <w:r>
        <w:rPr>
          <w:b/>
        </w:rPr>
        <w:t xml:space="preserve"> </w:t>
      </w:r>
      <w:r w:rsidRPr="00B220FA">
        <w:rPr>
          <w:b/>
        </w:rPr>
        <w:t>FTE (HE-BCI table 4)</w:t>
      </w:r>
    </w:p>
    <w:p w14:paraId="31FDDB7B" w14:textId="77777777" w:rsidR="00B220FA" w:rsidRPr="00B220FA" w:rsidRDefault="00B220FA" w:rsidP="00B220FA">
      <w:pPr>
        <w:pStyle w:val="ListParagraph"/>
        <w:ind w:left="1080"/>
        <w:rPr>
          <w:b/>
        </w:rPr>
      </w:pPr>
    </w:p>
    <w:p w14:paraId="2FA7D7DE" w14:textId="77777777" w:rsidR="008B3650" w:rsidRPr="00EF5041" w:rsidRDefault="00DE2ABD" w:rsidP="00DE2ABD">
      <w:pPr>
        <w:pStyle w:val="ListParagraph"/>
        <w:ind w:left="360"/>
        <w:rPr>
          <w:highlight w:val="yellow"/>
        </w:rPr>
      </w:pPr>
      <w:r w:rsidRPr="00EF5041">
        <w:rPr>
          <w:highlight w:val="yellow"/>
        </w:rPr>
        <w:t>75</w:t>
      </w:r>
      <w:r w:rsidR="008B3650" w:rsidRPr="00EF5041">
        <w:rPr>
          <w:highlight w:val="yellow"/>
        </w:rPr>
        <w:t>%.</w:t>
      </w:r>
    </w:p>
    <w:p w14:paraId="53C9102F" w14:textId="55236A10" w:rsidR="000E0406" w:rsidRPr="000E0406" w:rsidRDefault="00DE2ABD" w:rsidP="00DE2ABD">
      <w:pPr>
        <w:pStyle w:val="ListParagraph"/>
        <w:ind w:left="360"/>
      </w:pPr>
      <w:r w:rsidRPr="00EF5041">
        <w:rPr>
          <w:highlight w:val="yellow"/>
        </w:rPr>
        <w:t>The College records metrics based on its incubator programme, i.e. the number of start-ups housed by university incubators, the number of start-ups graduated from an incubator program, and the number of acti</w:t>
      </w:r>
      <w:r w:rsidR="00A71BFD">
        <w:rPr>
          <w:highlight w:val="yellow"/>
        </w:rPr>
        <w:t>ve incubator graduate companies. It would be possible for the College to include these metrics if a narrative statement was included to go alongside this metric.</w:t>
      </w:r>
    </w:p>
    <w:p w14:paraId="11F763C4" w14:textId="77777777" w:rsidR="000E0406" w:rsidRPr="000E0406" w:rsidRDefault="000E0406" w:rsidP="000E0406">
      <w:pPr>
        <w:pStyle w:val="ListParagraph"/>
        <w:ind w:left="360"/>
      </w:pPr>
    </w:p>
    <w:p w14:paraId="2B1F94B9" w14:textId="5ABB0914" w:rsidR="000E0406" w:rsidRDefault="000E0406" w:rsidP="000E0406">
      <w:pPr>
        <w:pStyle w:val="ListParagraph"/>
        <w:ind w:left="360"/>
        <w:rPr>
          <w:b/>
        </w:rPr>
      </w:pPr>
      <w:r w:rsidRPr="000E0406">
        <w:rPr>
          <w:b/>
        </w:rPr>
        <w:t>Local growth and regeneration</w:t>
      </w:r>
    </w:p>
    <w:p w14:paraId="262E8428" w14:textId="45667F74" w:rsidR="00C455B0" w:rsidRPr="00C455B0" w:rsidRDefault="00C455B0" w:rsidP="00C455B0">
      <w:pPr>
        <w:pStyle w:val="ListParagraph"/>
        <w:numPr>
          <w:ilvl w:val="0"/>
          <w:numId w:val="18"/>
        </w:numPr>
        <w:rPr>
          <w:b/>
        </w:rPr>
      </w:pPr>
      <w:r w:rsidRPr="00C455B0">
        <w:rPr>
          <w:b/>
        </w:rPr>
        <w:t>Regeneration and development income from</w:t>
      </w:r>
      <w:r>
        <w:rPr>
          <w:b/>
        </w:rPr>
        <w:t xml:space="preserve"> </w:t>
      </w:r>
      <w:r w:rsidRPr="00C455B0">
        <w:rPr>
          <w:b/>
        </w:rPr>
        <w:t>all sources per academic FTE (HE-BCI table 3)</w:t>
      </w:r>
    </w:p>
    <w:p w14:paraId="54582AEB" w14:textId="188881DC" w:rsidR="000E0406" w:rsidRDefault="00C455B0" w:rsidP="00C455B0">
      <w:pPr>
        <w:pStyle w:val="ListParagraph"/>
        <w:numPr>
          <w:ilvl w:val="0"/>
          <w:numId w:val="18"/>
        </w:numPr>
        <w:rPr>
          <w:b/>
        </w:rPr>
      </w:pPr>
      <w:r w:rsidRPr="00C455B0">
        <w:rPr>
          <w:b/>
        </w:rPr>
        <w:t>Additional narrative/contextual information</w:t>
      </w:r>
    </w:p>
    <w:p w14:paraId="47EAA29F" w14:textId="77777777" w:rsidR="00C455B0" w:rsidRDefault="00C455B0" w:rsidP="00C455B0">
      <w:pPr>
        <w:pStyle w:val="ListParagraph"/>
        <w:ind w:left="1080"/>
        <w:rPr>
          <w:b/>
        </w:rPr>
      </w:pPr>
    </w:p>
    <w:p w14:paraId="23384E83" w14:textId="34D80FB1" w:rsidR="008B3650" w:rsidRPr="00EF5041" w:rsidRDefault="009A6887" w:rsidP="000E0406">
      <w:pPr>
        <w:pStyle w:val="ListParagraph"/>
        <w:ind w:left="360"/>
        <w:rPr>
          <w:highlight w:val="yellow"/>
        </w:rPr>
      </w:pPr>
      <w:r>
        <w:rPr>
          <w:highlight w:val="yellow"/>
        </w:rPr>
        <w:lastRenderedPageBreak/>
        <w:t>25</w:t>
      </w:r>
      <w:r w:rsidR="008B3650" w:rsidRPr="00EF5041">
        <w:rPr>
          <w:highlight w:val="yellow"/>
        </w:rPr>
        <w:t>%.</w:t>
      </w:r>
    </w:p>
    <w:p w14:paraId="43C69BC1" w14:textId="77777777" w:rsidR="004C5B70" w:rsidRDefault="00BB574F" w:rsidP="000E0406">
      <w:pPr>
        <w:pStyle w:val="ListParagraph"/>
        <w:ind w:left="360"/>
        <w:rPr>
          <w:highlight w:val="yellow"/>
        </w:rPr>
      </w:pPr>
      <w:r w:rsidRPr="00BB574F">
        <w:rPr>
          <w:highlight w:val="yellow"/>
        </w:rPr>
        <w:t xml:space="preserve">The College recognises this category </w:t>
      </w:r>
      <w:r w:rsidR="00575553">
        <w:rPr>
          <w:highlight w:val="yellow"/>
        </w:rPr>
        <w:t>to be hugely complex</w:t>
      </w:r>
      <w:r w:rsidRPr="00BB574F">
        <w:rPr>
          <w:highlight w:val="yellow"/>
        </w:rPr>
        <w:t xml:space="preserve">, with many </w:t>
      </w:r>
      <w:r w:rsidRPr="00575553">
        <w:rPr>
          <w:highlight w:val="yellow"/>
        </w:rPr>
        <w:t>interdependent factors involved, so it is supportive of the narrative element</w:t>
      </w:r>
      <w:r w:rsidR="008A4067" w:rsidRPr="00575553">
        <w:rPr>
          <w:highlight w:val="yellow"/>
        </w:rPr>
        <w:t xml:space="preserve"> being used</w:t>
      </w:r>
      <w:r w:rsidRPr="00575553">
        <w:rPr>
          <w:highlight w:val="yellow"/>
        </w:rPr>
        <w:t xml:space="preserve"> here.</w:t>
      </w:r>
      <w:r w:rsidR="004C5B70">
        <w:rPr>
          <w:highlight w:val="yellow"/>
        </w:rPr>
        <w:t xml:space="preserve"> Regarding the HE-BCI T</w:t>
      </w:r>
      <w:r w:rsidR="00575553" w:rsidRPr="00575553">
        <w:rPr>
          <w:highlight w:val="yellow"/>
        </w:rPr>
        <w:t xml:space="preserve">able 3 metric, we should look beyond this Government/EU regeneration funding and look also at what external (private) investment has been brought in to develop local ecosystems </w:t>
      </w:r>
      <w:r w:rsidR="00575553">
        <w:rPr>
          <w:highlight w:val="yellow"/>
        </w:rPr>
        <w:t>and infrastructure, for example</w:t>
      </w:r>
      <w:r w:rsidR="00575553" w:rsidRPr="00575553">
        <w:rPr>
          <w:highlight w:val="yellow"/>
        </w:rPr>
        <w:t xml:space="preserve"> investment to build new </w:t>
      </w:r>
      <w:r w:rsidR="004C5B70">
        <w:rPr>
          <w:highlight w:val="yellow"/>
        </w:rPr>
        <w:t>space.</w:t>
      </w:r>
    </w:p>
    <w:p w14:paraId="2B0B8E85" w14:textId="77777777" w:rsidR="004C5B70" w:rsidRDefault="004C5B70" w:rsidP="000E0406">
      <w:pPr>
        <w:pStyle w:val="ListParagraph"/>
        <w:ind w:left="360"/>
        <w:rPr>
          <w:highlight w:val="yellow"/>
        </w:rPr>
      </w:pPr>
    </w:p>
    <w:p w14:paraId="436BDA60" w14:textId="32F881D4" w:rsidR="000E0406" w:rsidRPr="000E0406" w:rsidRDefault="004C5B70" w:rsidP="000E0406">
      <w:pPr>
        <w:pStyle w:val="ListParagraph"/>
        <w:ind w:left="360"/>
      </w:pPr>
      <w:r>
        <w:rPr>
          <w:highlight w:val="yellow"/>
        </w:rPr>
        <w:t xml:space="preserve">This </w:t>
      </w:r>
      <w:r w:rsidR="00253931">
        <w:rPr>
          <w:highlight w:val="yellow"/>
        </w:rPr>
        <w:t>aspect</w:t>
      </w:r>
      <w:r>
        <w:rPr>
          <w:highlight w:val="yellow"/>
        </w:rPr>
        <w:t xml:space="preserve"> is only currently represented on the radar charts by HE-BCI Table 3, to which the Co</w:t>
      </w:r>
      <w:r w:rsidR="00253931">
        <w:rPr>
          <w:highlight w:val="yellow"/>
        </w:rPr>
        <w:t>llege often gives a nil-return. This nil return represents a lack of inputs from particular, specified (normally EU) sources, and not a lack of activity on the College’s part. Our extensive collaborations with industrial partners to drive regeneration at White City is not fairly represented in this metric</w:t>
      </w:r>
      <w:r>
        <w:rPr>
          <w:highlight w:val="yellow"/>
        </w:rPr>
        <w:t xml:space="preserve">. The College will have an opportunity to counter this with the narrative statement, but is concerned that the general viewer may look at the metric without reading the statement, and so get a skewed perception of the </w:t>
      </w:r>
      <w:r w:rsidRPr="0097193A">
        <w:rPr>
          <w:highlight w:val="yellow"/>
        </w:rPr>
        <w:t>College.</w:t>
      </w:r>
      <w:r w:rsidR="00253931" w:rsidRPr="0097193A">
        <w:rPr>
          <w:highlight w:val="yellow"/>
        </w:rPr>
        <w:t xml:space="preserve"> There is an urgent imperative to develop an output metric in this area.</w:t>
      </w:r>
    </w:p>
    <w:p w14:paraId="36B19BD7" w14:textId="77777777" w:rsidR="000E0406" w:rsidRPr="000E0406" w:rsidRDefault="000E0406" w:rsidP="000E0406">
      <w:pPr>
        <w:pStyle w:val="ListParagraph"/>
        <w:ind w:left="360"/>
        <w:rPr>
          <w:b/>
        </w:rPr>
      </w:pPr>
    </w:p>
    <w:p w14:paraId="75994B5B" w14:textId="56B45900" w:rsidR="000E0406" w:rsidRDefault="000E0406" w:rsidP="000E0406">
      <w:pPr>
        <w:pStyle w:val="ListParagraph"/>
        <w:ind w:left="360"/>
        <w:rPr>
          <w:b/>
        </w:rPr>
      </w:pPr>
      <w:r w:rsidRPr="000E0406">
        <w:rPr>
          <w:b/>
        </w:rPr>
        <w:t>IP and commercialisation</w:t>
      </w:r>
    </w:p>
    <w:p w14:paraId="2F1EF2C3" w14:textId="77E496BE" w:rsidR="00C455B0" w:rsidRPr="00C455B0" w:rsidRDefault="00C455B0" w:rsidP="00C455B0">
      <w:pPr>
        <w:pStyle w:val="ListParagraph"/>
        <w:numPr>
          <w:ilvl w:val="0"/>
          <w:numId w:val="19"/>
        </w:numPr>
        <w:rPr>
          <w:b/>
        </w:rPr>
      </w:pPr>
      <w:r w:rsidRPr="00C455B0">
        <w:rPr>
          <w:b/>
        </w:rPr>
        <w:t>Research resource (income) per spin-out (HEBC</w:t>
      </w:r>
      <w:r>
        <w:rPr>
          <w:b/>
        </w:rPr>
        <w:t xml:space="preserve">I </w:t>
      </w:r>
      <w:r w:rsidRPr="00C455B0">
        <w:rPr>
          <w:b/>
        </w:rPr>
        <w:t>table 4)</w:t>
      </w:r>
    </w:p>
    <w:p w14:paraId="1A1ABE8A" w14:textId="2D571206" w:rsidR="00C455B0" w:rsidRPr="00C455B0" w:rsidRDefault="00C455B0" w:rsidP="00C455B0">
      <w:pPr>
        <w:pStyle w:val="ListParagraph"/>
        <w:numPr>
          <w:ilvl w:val="0"/>
          <w:numId w:val="19"/>
        </w:numPr>
        <w:rPr>
          <w:b/>
        </w:rPr>
      </w:pPr>
      <w:r w:rsidRPr="00C455B0">
        <w:rPr>
          <w:b/>
        </w:rPr>
        <w:t>Average external investment per formal spinout</w:t>
      </w:r>
      <w:r>
        <w:rPr>
          <w:b/>
        </w:rPr>
        <w:t xml:space="preserve"> </w:t>
      </w:r>
      <w:r w:rsidRPr="00C455B0">
        <w:rPr>
          <w:b/>
        </w:rPr>
        <w:t>(HE-BCI table 4)</w:t>
      </w:r>
    </w:p>
    <w:p w14:paraId="5FC7434B" w14:textId="589EE2D0" w:rsidR="000E0406" w:rsidRDefault="00C455B0" w:rsidP="00C455B0">
      <w:pPr>
        <w:pStyle w:val="ListParagraph"/>
        <w:numPr>
          <w:ilvl w:val="0"/>
          <w:numId w:val="19"/>
        </w:numPr>
        <w:rPr>
          <w:b/>
        </w:rPr>
      </w:pPr>
      <w:r w:rsidRPr="00C455B0">
        <w:rPr>
          <w:b/>
        </w:rPr>
        <w:t>Licensing and other IP income as proportion</w:t>
      </w:r>
      <w:r>
        <w:rPr>
          <w:b/>
        </w:rPr>
        <w:t xml:space="preserve"> </w:t>
      </w:r>
      <w:r w:rsidRPr="00C455B0">
        <w:rPr>
          <w:b/>
        </w:rPr>
        <w:t>of research income (HE-BCI table 4)</w:t>
      </w:r>
    </w:p>
    <w:p w14:paraId="62702E29" w14:textId="77777777" w:rsidR="00C455B0" w:rsidRPr="00C455B0" w:rsidRDefault="00C455B0" w:rsidP="00C455B0">
      <w:pPr>
        <w:pStyle w:val="ListParagraph"/>
        <w:ind w:left="1080"/>
        <w:rPr>
          <w:b/>
        </w:rPr>
      </w:pPr>
    </w:p>
    <w:p w14:paraId="5EE4FFD9" w14:textId="2D14FA28" w:rsidR="008B3650" w:rsidRDefault="0021018F" w:rsidP="0021018F">
      <w:pPr>
        <w:pStyle w:val="ListParagraph"/>
        <w:ind w:left="360"/>
        <w:rPr>
          <w:highlight w:val="yellow"/>
        </w:rPr>
      </w:pPr>
      <w:r w:rsidRPr="00EF5041">
        <w:rPr>
          <w:highlight w:val="yellow"/>
        </w:rPr>
        <w:t>50</w:t>
      </w:r>
      <w:r w:rsidR="008B3650" w:rsidRPr="00EF5041">
        <w:rPr>
          <w:highlight w:val="yellow"/>
        </w:rPr>
        <w:t>%.</w:t>
      </w:r>
    </w:p>
    <w:p w14:paraId="160ABB8A" w14:textId="5B50419B" w:rsidR="004E1590" w:rsidRPr="00030443" w:rsidRDefault="004E1590" w:rsidP="004E1590">
      <w:pPr>
        <w:pStyle w:val="ListParagraph"/>
        <w:ind w:left="360"/>
        <w:rPr>
          <w:highlight w:val="yellow"/>
        </w:rPr>
      </w:pPr>
      <w:r w:rsidRPr="00030443">
        <w:rPr>
          <w:highlight w:val="yellow"/>
        </w:rPr>
        <w:t>Current spin-out survival metrics fail to distinguish between companies that are adding to the UK economy and those that are barely surviving. There is currently undue emphasis placed on counting the numbers of patents, and this may distort behaviour in unhelpful ways. More attention should be given to whether they are useful or im</w:t>
      </w:r>
      <w:r w:rsidR="00004FF8" w:rsidRPr="00030443">
        <w:rPr>
          <w:highlight w:val="yellow"/>
        </w:rPr>
        <w:t>pactful.</w:t>
      </w:r>
    </w:p>
    <w:p w14:paraId="34C95747" w14:textId="77777777" w:rsidR="004E1590" w:rsidRPr="00030443" w:rsidRDefault="004E1590" w:rsidP="004E1590">
      <w:pPr>
        <w:pStyle w:val="ListParagraph"/>
        <w:ind w:left="360"/>
        <w:rPr>
          <w:highlight w:val="yellow"/>
        </w:rPr>
      </w:pPr>
    </w:p>
    <w:p w14:paraId="01248DD1" w14:textId="672EE9F6" w:rsidR="00004FF8" w:rsidRPr="00030443" w:rsidRDefault="004E1590" w:rsidP="004E1590">
      <w:pPr>
        <w:pStyle w:val="ListParagraph"/>
        <w:ind w:left="360"/>
        <w:rPr>
          <w:highlight w:val="yellow"/>
        </w:rPr>
      </w:pPr>
      <w:r w:rsidRPr="00030443">
        <w:rPr>
          <w:highlight w:val="yellow"/>
        </w:rPr>
        <w:t>Licence revenue metrics should track the total number of revenue generating licences, but also indicate whether the majority of income in this area is from either a few big licences or many small ones. Also, whether this licence income results from a product sold to customers or is from milestone payments due during the product development phase. The HE</w:t>
      </w:r>
      <w:r w:rsidR="00004FF8" w:rsidRPr="00030443">
        <w:rPr>
          <w:highlight w:val="yellow"/>
        </w:rPr>
        <w:t>-</w:t>
      </w:r>
      <w:r w:rsidRPr="00030443">
        <w:rPr>
          <w:highlight w:val="yellow"/>
        </w:rPr>
        <w:t xml:space="preserve">BCI form provides the total number of licences generating income, it does not provide any information about </w:t>
      </w:r>
      <w:r w:rsidR="00004FF8" w:rsidRPr="00030443">
        <w:rPr>
          <w:highlight w:val="yellow"/>
        </w:rPr>
        <w:t>this type of detail.</w:t>
      </w:r>
    </w:p>
    <w:p w14:paraId="16E77F91" w14:textId="77777777" w:rsidR="00004FF8" w:rsidRPr="00030443" w:rsidRDefault="00004FF8" w:rsidP="004E1590">
      <w:pPr>
        <w:pStyle w:val="ListParagraph"/>
        <w:ind w:left="360"/>
        <w:rPr>
          <w:highlight w:val="yellow"/>
        </w:rPr>
      </w:pPr>
    </w:p>
    <w:p w14:paraId="552AC954" w14:textId="1B7EB693" w:rsidR="00004FF8" w:rsidRPr="00030443" w:rsidRDefault="004E1590" w:rsidP="00004FF8">
      <w:pPr>
        <w:pStyle w:val="ListParagraph"/>
        <w:ind w:left="360"/>
        <w:rPr>
          <w:highlight w:val="yellow"/>
        </w:rPr>
      </w:pPr>
      <w:r w:rsidRPr="00030443">
        <w:rPr>
          <w:highlight w:val="yellow"/>
        </w:rPr>
        <w:t>The measurement of invention disclosures needs to distinguish between those taken forward as ‘cases’ rather than those</w:t>
      </w:r>
      <w:r w:rsidR="00004FF8" w:rsidRPr="00030443">
        <w:rPr>
          <w:highlight w:val="yellow"/>
        </w:rPr>
        <w:t xml:space="preserve"> that are not. What counts as an invention disclosure is difficult to define because we receive may enquiries about ideas from inventors, we will then have a preliminary discussion with them, and then identify the ones that have sufficient commercial merit to justify undertaking prior searches and other checks to assess whether there is valid IP that can be protected. It can be argued that this is the point at which we could define the case as an invention disclosure. However, different universities will have different approaches to this process, and it would be difficult to ensure consistency of definition across the sector.</w:t>
      </w:r>
    </w:p>
    <w:p w14:paraId="25D83707" w14:textId="77777777" w:rsidR="00004FF8" w:rsidRPr="00030443" w:rsidRDefault="00004FF8" w:rsidP="004E1590">
      <w:pPr>
        <w:pStyle w:val="ListParagraph"/>
        <w:ind w:left="360"/>
        <w:rPr>
          <w:highlight w:val="yellow"/>
        </w:rPr>
      </w:pPr>
    </w:p>
    <w:p w14:paraId="18CDA760" w14:textId="530F735B" w:rsidR="004E1590" w:rsidRPr="00030443" w:rsidRDefault="004E1590" w:rsidP="00030443">
      <w:pPr>
        <w:pStyle w:val="ListParagraph"/>
        <w:ind w:left="360"/>
      </w:pPr>
      <w:r w:rsidRPr="00030443">
        <w:rPr>
          <w:highlight w:val="yellow"/>
        </w:rPr>
        <w:t>Some forms of IP (e.g. copyright in software code) do not require registration, but are still valuable, so it would be useful to record t</w:t>
      </w:r>
      <w:r w:rsidR="00030443" w:rsidRPr="00030443">
        <w:rPr>
          <w:highlight w:val="yellow"/>
        </w:rPr>
        <w:t>hese.</w:t>
      </w:r>
      <w:r w:rsidRPr="00030443">
        <w:rPr>
          <w:highlight w:val="yellow"/>
        </w:rPr>
        <w:t xml:space="preserve"> Cases of IP that are converted to commercial deals should be measured (however, it should be noted that multiple cases could be included in one deal, so a mechanism needs to be found to deal with double counting.) The </w:t>
      </w:r>
      <w:r w:rsidR="00B37C24">
        <w:rPr>
          <w:highlight w:val="yellow"/>
        </w:rPr>
        <w:t>conversion rate of IP cases to c</w:t>
      </w:r>
      <w:r w:rsidRPr="00030443">
        <w:rPr>
          <w:highlight w:val="yellow"/>
        </w:rPr>
        <w:t xml:space="preserve">ommercial deals is an internal measure that most TTO/Universities use to </w:t>
      </w:r>
      <w:r w:rsidRPr="00030443">
        <w:rPr>
          <w:highlight w:val="yellow"/>
        </w:rPr>
        <w:lastRenderedPageBreak/>
        <w:t>measure their success rate. The timeframe for the conversion rate varies f</w:t>
      </w:r>
      <w:r w:rsidR="00030443" w:rsidRPr="00030443">
        <w:rPr>
          <w:highlight w:val="yellow"/>
        </w:rPr>
        <w:t>rom 1-4 years (time lapse from d</w:t>
      </w:r>
      <w:r w:rsidRPr="00030443">
        <w:rPr>
          <w:highlight w:val="yellow"/>
        </w:rPr>
        <w:t>isclo</w:t>
      </w:r>
      <w:r w:rsidR="00030443" w:rsidRPr="00030443">
        <w:rPr>
          <w:highlight w:val="yellow"/>
        </w:rPr>
        <w:t>sure date to c</w:t>
      </w:r>
      <w:r w:rsidRPr="00030443">
        <w:rPr>
          <w:highlight w:val="yellow"/>
        </w:rPr>
        <w:t>ommercialisation) so it is quite difficult to measure this parameter. Consequently, most TTOs measure the ratio between the number of IDS and deals executed wi</w:t>
      </w:r>
      <w:r w:rsidR="00B37C24">
        <w:rPr>
          <w:highlight w:val="yellow"/>
        </w:rPr>
        <w:t>thin the same reporting period.</w:t>
      </w:r>
    </w:p>
    <w:p w14:paraId="75B578B3" w14:textId="77777777" w:rsidR="000E0406" w:rsidRPr="000E0406" w:rsidRDefault="000E0406" w:rsidP="000E0406">
      <w:pPr>
        <w:pStyle w:val="ListParagraph"/>
        <w:ind w:left="360"/>
        <w:rPr>
          <w:b/>
        </w:rPr>
      </w:pPr>
    </w:p>
    <w:p w14:paraId="2D41E2C7" w14:textId="4E8C82A9" w:rsidR="000E0406" w:rsidRPr="000E0406" w:rsidRDefault="000E0406" w:rsidP="000E0406">
      <w:pPr>
        <w:pStyle w:val="ListParagraph"/>
        <w:ind w:left="360"/>
        <w:rPr>
          <w:b/>
        </w:rPr>
      </w:pPr>
      <w:r w:rsidRPr="000E0406">
        <w:rPr>
          <w:b/>
        </w:rPr>
        <w:t>Public and community engagement</w:t>
      </w:r>
    </w:p>
    <w:p w14:paraId="3FEA3AEC" w14:textId="2015988D" w:rsidR="00C455B0" w:rsidRPr="00C455B0" w:rsidRDefault="00C455B0" w:rsidP="00C455B0">
      <w:pPr>
        <w:pStyle w:val="ListParagraph"/>
        <w:numPr>
          <w:ilvl w:val="0"/>
          <w:numId w:val="20"/>
        </w:numPr>
        <w:rPr>
          <w:b/>
        </w:rPr>
      </w:pPr>
      <w:r w:rsidRPr="00C455B0">
        <w:rPr>
          <w:b/>
        </w:rPr>
        <w:t>Time per academic staff FTE committed to</w:t>
      </w:r>
      <w:r>
        <w:rPr>
          <w:b/>
        </w:rPr>
        <w:t xml:space="preserve"> </w:t>
      </w:r>
      <w:r w:rsidRPr="00C455B0">
        <w:rPr>
          <w:b/>
        </w:rPr>
        <w:t>public and community engagement (paid and free) across:</w:t>
      </w:r>
    </w:p>
    <w:p w14:paraId="17E33472" w14:textId="55DE81D2" w:rsidR="00C455B0" w:rsidRPr="00C455B0" w:rsidRDefault="00C455B0" w:rsidP="00C455B0">
      <w:pPr>
        <w:pStyle w:val="ListParagraph"/>
        <w:numPr>
          <w:ilvl w:val="0"/>
          <w:numId w:val="22"/>
        </w:numPr>
        <w:rPr>
          <w:b/>
        </w:rPr>
      </w:pPr>
      <w:r w:rsidRPr="00C455B0">
        <w:rPr>
          <w:b/>
        </w:rPr>
        <w:t>Events</w:t>
      </w:r>
      <w:r>
        <w:rPr>
          <w:b/>
        </w:rPr>
        <w:t xml:space="preserve"> (HE-BCI table 5)</w:t>
      </w:r>
    </w:p>
    <w:p w14:paraId="025FC28C" w14:textId="01EA6872" w:rsidR="00C455B0" w:rsidRPr="00C455B0" w:rsidRDefault="00C455B0" w:rsidP="00C455B0">
      <w:pPr>
        <w:pStyle w:val="ListParagraph"/>
        <w:numPr>
          <w:ilvl w:val="0"/>
          <w:numId w:val="22"/>
        </w:numPr>
        <w:rPr>
          <w:b/>
        </w:rPr>
      </w:pPr>
      <w:r w:rsidRPr="00C455B0">
        <w:rPr>
          <w:b/>
        </w:rPr>
        <w:t>Performances (HE-BCI table 5)</w:t>
      </w:r>
    </w:p>
    <w:p w14:paraId="45312A4B" w14:textId="1054617C" w:rsidR="00C455B0" w:rsidRPr="00C455B0" w:rsidRDefault="00C455B0" w:rsidP="00C455B0">
      <w:pPr>
        <w:pStyle w:val="ListParagraph"/>
        <w:numPr>
          <w:ilvl w:val="0"/>
          <w:numId w:val="22"/>
        </w:numPr>
        <w:rPr>
          <w:b/>
        </w:rPr>
      </w:pPr>
      <w:r w:rsidRPr="00C455B0">
        <w:rPr>
          <w:b/>
        </w:rPr>
        <w:t>Museums and galleries</w:t>
      </w:r>
      <w:r>
        <w:rPr>
          <w:b/>
        </w:rPr>
        <w:t xml:space="preserve"> </w:t>
      </w:r>
      <w:r w:rsidRPr="00C455B0">
        <w:rPr>
          <w:b/>
        </w:rPr>
        <w:t>(HE-BCI table 5)</w:t>
      </w:r>
    </w:p>
    <w:p w14:paraId="7F7D6A87" w14:textId="778A0FC4" w:rsidR="000E0406" w:rsidRDefault="00C455B0" w:rsidP="00C455B0">
      <w:pPr>
        <w:pStyle w:val="ListParagraph"/>
        <w:numPr>
          <w:ilvl w:val="0"/>
          <w:numId w:val="20"/>
        </w:numPr>
        <w:rPr>
          <w:b/>
        </w:rPr>
      </w:pPr>
      <w:r w:rsidRPr="00C455B0">
        <w:rPr>
          <w:b/>
        </w:rPr>
        <w:t>Additional narrative/contextual information</w:t>
      </w:r>
    </w:p>
    <w:p w14:paraId="068BDB67" w14:textId="77777777" w:rsidR="00C455B0" w:rsidRPr="00C455B0" w:rsidRDefault="00C455B0" w:rsidP="00C455B0">
      <w:pPr>
        <w:pStyle w:val="ListParagraph"/>
        <w:ind w:left="360"/>
        <w:rPr>
          <w:b/>
        </w:rPr>
      </w:pPr>
    </w:p>
    <w:p w14:paraId="649049B4" w14:textId="77777777" w:rsidR="008B3650" w:rsidRPr="00EF5041" w:rsidRDefault="008B3650" w:rsidP="0021018F">
      <w:pPr>
        <w:pStyle w:val="ListParagraph"/>
        <w:ind w:left="360"/>
        <w:rPr>
          <w:highlight w:val="yellow"/>
        </w:rPr>
      </w:pPr>
      <w:r w:rsidRPr="00EF5041">
        <w:rPr>
          <w:highlight w:val="yellow"/>
        </w:rPr>
        <w:t>50%.</w:t>
      </w:r>
    </w:p>
    <w:p w14:paraId="2A601A53" w14:textId="6D9D87B3" w:rsidR="000E0406" w:rsidRDefault="0021018F" w:rsidP="0021018F">
      <w:pPr>
        <w:pStyle w:val="ListParagraph"/>
        <w:ind w:left="360"/>
      </w:pPr>
      <w:r w:rsidRPr="00EF5041">
        <w:rPr>
          <w:highlight w:val="yellow"/>
        </w:rPr>
        <w:t xml:space="preserve">Metrics could include income from and expenditure on engagement. However, more guidance and consistency is needed on how funds awarded for engagement are recorded on research grants. Other relevant metrics could include the number of people </w:t>
      </w:r>
      <w:r w:rsidR="00626911">
        <w:rPr>
          <w:highlight w:val="yellow"/>
        </w:rPr>
        <w:t>where training has been give</w:t>
      </w:r>
      <w:r w:rsidR="003108D5">
        <w:rPr>
          <w:highlight w:val="yellow"/>
        </w:rPr>
        <w:t>n</w:t>
      </w:r>
      <w:r w:rsidRPr="00EF5041">
        <w:rPr>
          <w:highlight w:val="yellow"/>
        </w:rPr>
        <w:t xml:space="preserve"> to support public engagement activities, partnerships in the community, metrics around patient involvement and staff numbers to support the activity. Ultimately, however, the most accurate measure of impact is written or verbal feedback from those engaged with, which is difficult to capture and assess in terms of metrics.</w:t>
      </w:r>
    </w:p>
    <w:p w14:paraId="3266EA99" w14:textId="7C73C71B" w:rsidR="0065579A" w:rsidRDefault="0065579A" w:rsidP="004051E7">
      <w:pPr>
        <w:pStyle w:val="ListParagraph"/>
        <w:ind w:left="360"/>
      </w:pPr>
    </w:p>
    <w:p w14:paraId="6EE152CB" w14:textId="77777777" w:rsidR="006C47CF" w:rsidRDefault="0065579A" w:rsidP="001A0935">
      <w:pPr>
        <w:autoSpaceDE w:val="0"/>
        <w:autoSpaceDN w:val="0"/>
        <w:adjustRightInd w:val="0"/>
        <w:spacing w:after="0" w:line="240" w:lineRule="auto"/>
        <w:rPr>
          <w:b/>
        </w:rPr>
      </w:pPr>
      <w:r>
        <w:rPr>
          <w:b/>
        </w:rPr>
        <w:t>8</w:t>
      </w:r>
      <w:r w:rsidRPr="00507CA4">
        <w:rPr>
          <w:b/>
        </w:rPr>
        <w:t xml:space="preserve">. </w:t>
      </w:r>
      <w:r w:rsidR="00B95D4C" w:rsidRPr="001A0935">
        <w:rPr>
          <w:b/>
        </w:rPr>
        <w:t>Supplementary narrative</w:t>
      </w:r>
    </w:p>
    <w:p w14:paraId="000AB719" w14:textId="77777777" w:rsidR="006C47CF" w:rsidRDefault="006C47CF" w:rsidP="001A0935">
      <w:pPr>
        <w:autoSpaceDE w:val="0"/>
        <w:autoSpaceDN w:val="0"/>
        <w:adjustRightInd w:val="0"/>
        <w:spacing w:after="0" w:line="240" w:lineRule="auto"/>
        <w:rPr>
          <w:b/>
        </w:rPr>
      </w:pPr>
    </w:p>
    <w:p w14:paraId="40F5A770" w14:textId="77777777" w:rsidR="00F77FDB" w:rsidRDefault="004C0097" w:rsidP="001A0935">
      <w:pPr>
        <w:autoSpaceDE w:val="0"/>
        <w:autoSpaceDN w:val="0"/>
        <w:adjustRightInd w:val="0"/>
        <w:spacing w:after="0" w:line="240" w:lineRule="auto"/>
        <w:rPr>
          <w:b/>
        </w:rPr>
      </w:pPr>
      <w:r w:rsidRPr="001A0935">
        <w:rPr>
          <w:b/>
        </w:rPr>
        <w:t>We consider that for two perspectives, that on their own, the existing metrics do not provide</w:t>
      </w:r>
      <w:r w:rsidR="001A0935" w:rsidRPr="001A0935">
        <w:rPr>
          <w:b/>
        </w:rPr>
        <w:t xml:space="preserve"> </w:t>
      </w:r>
      <w:r w:rsidRPr="001A0935">
        <w:rPr>
          <w:b/>
        </w:rPr>
        <w:t>sufficient measure of the scale and variety of activities undertaken by higher education</w:t>
      </w:r>
      <w:r w:rsidR="001A0935" w:rsidRPr="001A0935">
        <w:rPr>
          <w:b/>
        </w:rPr>
        <w:t xml:space="preserve"> </w:t>
      </w:r>
      <w:r w:rsidRPr="001A0935">
        <w:rPr>
          <w:b/>
        </w:rPr>
        <w:t>institutions (HEIs).</w:t>
      </w:r>
    </w:p>
    <w:p w14:paraId="4E7B63FA" w14:textId="77777777" w:rsidR="00F77FDB" w:rsidRDefault="00F77FDB" w:rsidP="001A0935">
      <w:pPr>
        <w:autoSpaceDE w:val="0"/>
        <w:autoSpaceDN w:val="0"/>
        <w:adjustRightInd w:val="0"/>
        <w:spacing w:after="0" w:line="240" w:lineRule="auto"/>
        <w:rPr>
          <w:b/>
        </w:rPr>
      </w:pPr>
    </w:p>
    <w:p w14:paraId="69550EB7" w14:textId="77777777" w:rsidR="00F77FDB" w:rsidRDefault="004C0097" w:rsidP="001A0935">
      <w:pPr>
        <w:autoSpaceDE w:val="0"/>
        <w:autoSpaceDN w:val="0"/>
        <w:adjustRightInd w:val="0"/>
        <w:spacing w:after="0" w:line="240" w:lineRule="auto"/>
        <w:rPr>
          <w:b/>
        </w:rPr>
      </w:pPr>
      <w:r w:rsidRPr="001A0935">
        <w:rPr>
          <w:b/>
        </w:rPr>
        <w:t>We intend to work with the sector to develop, where possible, metrics that will capture the</w:t>
      </w:r>
      <w:r w:rsidR="001A0935" w:rsidRPr="001A0935">
        <w:rPr>
          <w:b/>
        </w:rPr>
        <w:t xml:space="preserve"> </w:t>
      </w:r>
      <w:r w:rsidRPr="001A0935">
        <w:rPr>
          <w:b/>
        </w:rPr>
        <w:t>outcomes derived from all types of knowledge exchange in the future. In the mean time we</w:t>
      </w:r>
      <w:r w:rsidR="001A0935" w:rsidRPr="001A0935">
        <w:rPr>
          <w:b/>
        </w:rPr>
        <w:t xml:space="preserve"> </w:t>
      </w:r>
      <w:r w:rsidRPr="001A0935">
        <w:rPr>
          <w:b/>
        </w:rPr>
        <w:t>propose to supplement both the Local Growth &amp; Regeneration and Public &amp; Community</w:t>
      </w:r>
      <w:r w:rsidR="001A0935" w:rsidRPr="001A0935">
        <w:rPr>
          <w:b/>
        </w:rPr>
        <w:t xml:space="preserve"> </w:t>
      </w:r>
      <w:r w:rsidRPr="001A0935">
        <w:rPr>
          <w:b/>
        </w:rPr>
        <w:t>Engagement perspectives by requesting a narrative statement from</w:t>
      </w:r>
      <w:r w:rsidR="001A0935" w:rsidRPr="001A0935">
        <w:rPr>
          <w:b/>
        </w:rPr>
        <w:t xml:space="preserve"> </w:t>
      </w:r>
      <w:r w:rsidRPr="001A0935">
        <w:rPr>
          <w:b/>
        </w:rPr>
        <w:t>each provider to set out the</w:t>
      </w:r>
      <w:r w:rsidR="001A0935" w:rsidRPr="001A0935">
        <w:rPr>
          <w:b/>
        </w:rPr>
        <w:t xml:space="preserve"> </w:t>
      </w:r>
      <w:r w:rsidRPr="001A0935">
        <w:rPr>
          <w:b/>
        </w:rPr>
        <w:t>main strategic goals, activities, outputs and potential outcomes achieved.</w:t>
      </w:r>
    </w:p>
    <w:p w14:paraId="682D7A11" w14:textId="77777777" w:rsidR="00F77FDB" w:rsidRDefault="00F77FDB" w:rsidP="001A0935">
      <w:pPr>
        <w:autoSpaceDE w:val="0"/>
        <w:autoSpaceDN w:val="0"/>
        <w:adjustRightInd w:val="0"/>
        <w:spacing w:after="0" w:line="240" w:lineRule="auto"/>
        <w:rPr>
          <w:b/>
        </w:rPr>
      </w:pPr>
    </w:p>
    <w:p w14:paraId="1FE1D665" w14:textId="7F22769E" w:rsidR="0065579A" w:rsidRPr="001A0935" w:rsidRDefault="004C0097" w:rsidP="001A0935">
      <w:pPr>
        <w:autoSpaceDE w:val="0"/>
        <w:autoSpaceDN w:val="0"/>
        <w:adjustRightInd w:val="0"/>
        <w:spacing w:after="0" w:line="240" w:lineRule="auto"/>
        <w:rPr>
          <w:b/>
        </w:rPr>
      </w:pPr>
      <w:r w:rsidRPr="001A0935">
        <w:rPr>
          <w:b/>
        </w:rPr>
        <w:t>Do you consider it appropriate for HEIs to provide narrative text to support the metrics in</w:t>
      </w:r>
      <w:r w:rsidR="001A0935" w:rsidRPr="001A0935">
        <w:rPr>
          <w:b/>
        </w:rPr>
        <w:t xml:space="preserve"> </w:t>
      </w:r>
      <w:r w:rsidRPr="001A0935">
        <w:rPr>
          <w:b/>
        </w:rPr>
        <w:t>perspectives that don't currently have fully developed metrics?</w:t>
      </w:r>
      <w:r w:rsidR="00B95D4C">
        <w:rPr>
          <w:b/>
        </w:rPr>
        <w:t xml:space="preserve"> </w:t>
      </w:r>
    </w:p>
    <w:p w14:paraId="74E2F4FC" w14:textId="41DD4E6C" w:rsidR="001A0935" w:rsidRDefault="001A0935" w:rsidP="0065579A">
      <w:pPr>
        <w:pStyle w:val="ListParagraph"/>
        <w:ind w:left="360"/>
        <w:rPr>
          <w:b/>
        </w:rPr>
      </w:pPr>
    </w:p>
    <w:p w14:paraId="6936FC2E" w14:textId="77777777" w:rsidR="001A0935" w:rsidRDefault="001A0935" w:rsidP="001A0935">
      <w:pPr>
        <w:pStyle w:val="ListParagraph"/>
        <w:ind w:left="360"/>
      </w:pPr>
      <w:r w:rsidRPr="00072AEC">
        <w:t>Strongly disagre</w:t>
      </w:r>
      <w:r>
        <w:t>e</w:t>
      </w:r>
    </w:p>
    <w:p w14:paraId="7D755C01" w14:textId="77777777" w:rsidR="001A0935" w:rsidRDefault="001A0935" w:rsidP="001A0935">
      <w:pPr>
        <w:pStyle w:val="ListParagraph"/>
        <w:ind w:left="360"/>
      </w:pPr>
      <w:r w:rsidRPr="00072AEC">
        <w:t>Disagree</w:t>
      </w:r>
    </w:p>
    <w:p w14:paraId="1A5796C4" w14:textId="77777777" w:rsidR="001A0935" w:rsidRDefault="001A0935" w:rsidP="001A0935">
      <w:pPr>
        <w:pStyle w:val="ListParagraph"/>
        <w:ind w:left="360"/>
      </w:pPr>
      <w:r w:rsidRPr="00072AEC">
        <w:t>Somewhat disagree</w:t>
      </w:r>
    </w:p>
    <w:p w14:paraId="2D3F8F2F" w14:textId="77777777" w:rsidR="001A0935" w:rsidRDefault="001A0935" w:rsidP="001A0935">
      <w:pPr>
        <w:pStyle w:val="ListParagraph"/>
        <w:ind w:left="360"/>
      </w:pPr>
      <w:r w:rsidRPr="00072AEC">
        <w:t>Somewhat agre</w:t>
      </w:r>
      <w:r>
        <w:t>e</w:t>
      </w:r>
    </w:p>
    <w:p w14:paraId="7A64B777" w14:textId="77777777" w:rsidR="001A0935" w:rsidRDefault="001A0935" w:rsidP="001A0935">
      <w:pPr>
        <w:pStyle w:val="ListParagraph"/>
        <w:ind w:left="360"/>
      </w:pPr>
      <w:r w:rsidRPr="00C229C0">
        <w:t>Agree</w:t>
      </w:r>
    </w:p>
    <w:p w14:paraId="04DF55AF" w14:textId="77777777" w:rsidR="001A0935" w:rsidRDefault="001A0935" w:rsidP="001A0935">
      <w:pPr>
        <w:pStyle w:val="ListParagraph"/>
        <w:ind w:left="360"/>
      </w:pPr>
      <w:r w:rsidRPr="00C229C0">
        <w:rPr>
          <w:highlight w:val="yellow"/>
        </w:rPr>
        <w:t>Strongly agree</w:t>
      </w:r>
    </w:p>
    <w:p w14:paraId="62166E35" w14:textId="16804416" w:rsidR="001A0935" w:rsidRDefault="001A0935" w:rsidP="0065579A">
      <w:pPr>
        <w:pStyle w:val="ListParagraph"/>
        <w:ind w:left="360"/>
        <w:rPr>
          <w:b/>
        </w:rPr>
      </w:pPr>
    </w:p>
    <w:p w14:paraId="51C0D0B0" w14:textId="3093A4D8" w:rsidR="001A0935" w:rsidRPr="001A0935" w:rsidRDefault="001A0935" w:rsidP="0065579A">
      <w:pPr>
        <w:pStyle w:val="ListParagraph"/>
        <w:ind w:left="360"/>
        <w:rPr>
          <w:b/>
          <w:u w:val="single"/>
        </w:rPr>
      </w:pPr>
      <w:r w:rsidRPr="001A0935">
        <w:rPr>
          <w:b/>
          <w:u w:val="single"/>
        </w:rPr>
        <w:t>Public and community engagement narrative</w:t>
      </w:r>
    </w:p>
    <w:p w14:paraId="2B27C80A" w14:textId="3031EBBE" w:rsidR="001A0935" w:rsidRDefault="001A0935" w:rsidP="0065579A">
      <w:pPr>
        <w:pStyle w:val="ListParagraph"/>
        <w:ind w:left="360"/>
        <w:rPr>
          <w:b/>
        </w:rPr>
      </w:pPr>
    </w:p>
    <w:p w14:paraId="062DB623" w14:textId="3F08C15B" w:rsidR="001A0935" w:rsidRDefault="001A0935" w:rsidP="0065579A">
      <w:pPr>
        <w:pStyle w:val="ListParagraph"/>
        <w:ind w:left="360"/>
        <w:rPr>
          <w:b/>
        </w:rPr>
      </w:pPr>
      <w:r w:rsidRPr="001A0935">
        <w:rPr>
          <w:b/>
        </w:rPr>
        <w:t>Overall, is the guidance on the provision of narrative text for this perspective clear.</w:t>
      </w:r>
    </w:p>
    <w:p w14:paraId="086E5F74" w14:textId="77777777" w:rsidR="001A0935" w:rsidRDefault="001A0935" w:rsidP="0065579A">
      <w:pPr>
        <w:pStyle w:val="ListParagraph"/>
        <w:ind w:left="360"/>
        <w:rPr>
          <w:b/>
        </w:rPr>
      </w:pPr>
    </w:p>
    <w:p w14:paraId="29F4F028" w14:textId="77777777" w:rsidR="001A0935" w:rsidRDefault="001A0935" w:rsidP="001A0935">
      <w:pPr>
        <w:pStyle w:val="ListParagraph"/>
        <w:ind w:left="360"/>
      </w:pPr>
      <w:r w:rsidRPr="00072AEC">
        <w:lastRenderedPageBreak/>
        <w:t>Strongly disagre</w:t>
      </w:r>
      <w:r>
        <w:t>e</w:t>
      </w:r>
    </w:p>
    <w:p w14:paraId="34ADEEE5" w14:textId="77777777" w:rsidR="001A0935" w:rsidRDefault="001A0935" w:rsidP="001A0935">
      <w:pPr>
        <w:pStyle w:val="ListParagraph"/>
        <w:ind w:left="360"/>
      </w:pPr>
      <w:r w:rsidRPr="00072AEC">
        <w:t>Disagree</w:t>
      </w:r>
    </w:p>
    <w:p w14:paraId="0FB2A228" w14:textId="77777777" w:rsidR="001A0935" w:rsidRDefault="001A0935" w:rsidP="001A0935">
      <w:pPr>
        <w:pStyle w:val="ListParagraph"/>
        <w:ind w:left="360"/>
      </w:pPr>
      <w:r w:rsidRPr="00072AEC">
        <w:t>Somewhat disagree</w:t>
      </w:r>
    </w:p>
    <w:p w14:paraId="53039FA3" w14:textId="77777777" w:rsidR="001A0935" w:rsidRDefault="001A0935" w:rsidP="001A0935">
      <w:pPr>
        <w:pStyle w:val="ListParagraph"/>
        <w:ind w:left="360"/>
      </w:pPr>
      <w:r w:rsidRPr="005A3FFC">
        <w:rPr>
          <w:highlight w:val="yellow"/>
        </w:rPr>
        <w:t>Somewhat agree</w:t>
      </w:r>
    </w:p>
    <w:p w14:paraId="4D101884" w14:textId="77777777" w:rsidR="001A0935" w:rsidRDefault="001A0935" w:rsidP="001A0935">
      <w:pPr>
        <w:pStyle w:val="ListParagraph"/>
        <w:ind w:left="360"/>
      </w:pPr>
      <w:r w:rsidRPr="00072AEC">
        <w:t>Agree</w:t>
      </w:r>
    </w:p>
    <w:p w14:paraId="7D8953CB" w14:textId="77777777" w:rsidR="001A0935" w:rsidRDefault="001A0935" w:rsidP="001A0935">
      <w:pPr>
        <w:pStyle w:val="ListParagraph"/>
        <w:ind w:left="360"/>
      </w:pPr>
      <w:r w:rsidRPr="00072AEC">
        <w:t>Strongly agree</w:t>
      </w:r>
    </w:p>
    <w:p w14:paraId="74A8D659" w14:textId="0C341297" w:rsidR="001A0935" w:rsidRDefault="001A0935" w:rsidP="0065579A">
      <w:pPr>
        <w:pStyle w:val="ListParagraph"/>
        <w:ind w:left="360"/>
        <w:rPr>
          <w:b/>
        </w:rPr>
      </w:pPr>
    </w:p>
    <w:p w14:paraId="3B659BB9" w14:textId="77777777" w:rsidR="001A0935" w:rsidRPr="001A0935" w:rsidRDefault="001A0935" w:rsidP="001A0935">
      <w:pPr>
        <w:pStyle w:val="ListParagraph"/>
        <w:ind w:left="360"/>
        <w:rPr>
          <w:b/>
        </w:rPr>
      </w:pPr>
      <w:r w:rsidRPr="001A0935">
        <w:rPr>
          <w:b/>
        </w:rPr>
        <w:t>Please comment on the proposal to include narrative from HEIs for the public and community</w:t>
      </w:r>
    </w:p>
    <w:p w14:paraId="44B9E0E1" w14:textId="5A97B1C5" w:rsidR="001A0935" w:rsidRDefault="001A0935" w:rsidP="001A0935">
      <w:pPr>
        <w:pStyle w:val="ListParagraph"/>
        <w:ind w:left="360"/>
        <w:rPr>
          <w:b/>
        </w:rPr>
      </w:pPr>
      <w:r w:rsidRPr="001A0935">
        <w:rPr>
          <w:b/>
        </w:rPr>
        <w:t>engagement perspective, in particular: - where further clarification is required- where refinements</w:t>
      </w:r>
      <w:r>
        <w:rPr>
          <w:b/>
        </w:rPr>
        <w:t xml:space="preserve"> </w:t>
      </w:r>
      <w:r w:rsidRPr="001A0935">
        <w:rPr>
          <w:b/>
        </w:rPr>
        <w:t>could be made- whether there are areas where more consistency across HEIs could be achieved. (400-word limit)</w:t>
      </w:r>
    </w:p>
    <w:p w14:paraId="088BBF97" w14:textId="77777777" w:rsidR="001A0935" w:rsidRPr="001A0935" w:rsidRDefault="001A0935" w:rsidP="001A0935">
      <w:pPr>
        <w:pStyle w:val="ListParagraph"/>
        <w:ind w:left="360"/>
        <w:rPr>
          <w:b/>
        </w:rPr>
      </w:pPr>
    </w:p>
    <w:p w14:paraId="212C8EC6" w14:textId="4C410AC6" w:rsidR="005B7190" w:rsidRPr="00825A20" w:rsidRDefault="005A3FFC" w:rsidP="005B7190">
      <w:pPr>
        <w:pStyle w:val="ListParagraph"/>
        <w:ind w:left="360"/>
      </w:pPr>
      <w:r w:rsidRPr="00EF5041">
        <w:rPr>
          <w:highlight w:val="yellow"/>
        </w:rPr>
        <w:t xml:space="preserve">As the phrase ‘public and community engagement’ can have </w:t>
      </w:r>
      <w:r w:rsidR="0012622B">
        <w:rPr>
          <w:highlight w:val="yellow"/>
        </w:rPr>
        <w:t>multiple</w:t>
      </w:r>
      <w:r w:rsidRPr="00EF5041">
        <w:rPr>
          <w:highlight w:val="yellow"/>
        </w:rPr>
        <w:t xml:space="preserve"> meanings, the College would find it useful if the guidance would state Research England’s interpretation of the phrase more explicitly. This would help the College to provide a more concise narrative relating to its activities.</w:t>
      </w:r>
      <w:r w:rsidR="00567AC1" w:rsidRPr="00EF5041">
        <w:rPr>
          <w:highlight w:val="yellow"/>
        </w:rPr>
        <w:t xml:space="preserve"> If the phrase </w:t>
      </w:r>
      <w:r w:rsidR="003108D5">
        <w:rPr>
          <w:highlight w:val="yellow"/>
        </w:rPr>
        <w:t xml:space="preserve">is </w:t>
      </w:r>
      <w:r w:rsidR="004A4ABF">
        <w:rPr>
          <w:highlight w:val="yellow"/>
        </w:rPr>
        <w:t>interpret</w:t>
      </w:r>
      <w:r w:rsidR="0012622B">
        <w:rPr>
          <w:highlight w:val="yellow"/>
        </w:rPr>
        <w:t>ed differently across the sector</w:t>
      </w:r>
      <w:r w:rsidR="00567AC1" w:rsidRPr="00EF5041">
        <w:rPr>
          <w:highlight w:val="yellow"/>
        </w:rPr>
        <w:t>, it would render the exercise less meaningful.</w:t>
      </w:r>
    </w:p>
    <w:p w14:paraId="19C9968B" w14:textId="65A10D9D" w:rsidR="001A0935" w:rsidRDefault="001A0935" w:rsidP="0065579A">
      <w:pPr>
        <w:pStyle w:val="ListParagraph"/>
        <w:ind w:left="360"/>
      </w:pPr>
    </w:p>
    <w:p w14:paraId="13998A31" w14:textId="49699CDB" w:rsidR="001A0935" w:rsidRPr="001A0935" w:rsidRDefault="001A0935" w:rsidP="001A0935">
      <w:pPr>
        <w:pStyle w:val="ListParagraph"/>
        <w:ind w:left="360"/>
        <w:rPr>
          <w:b/>
          <w:u w:val="single"/>
        </w:rPr>
      </w:pPr>
      <w:r w:rsidRPr="001A0935">
        <w:rPr>
          <w:b/>
          <w:u w:val="single"/>
        </w:rPr>
        <w:t>Local growth and regeneration narrative</w:t>
      </w:r>
    </w:p>
    <w:p w14:paraId="0457433C" w14:textId="77777777" w:rsidR="001A0935" w:rsidRDefault="001A0935" w:rsidP="001A0935">
      <w:pPr>
        <w:pStyle w:val="ListParagraph"/>
        <w:ind w:left="360"/>
        <w:rPr>
          <w:b/>
        </w:rPr>
      </w:pPr>
    </w:p>
    <w:p w14:paraId="22BB0893" w14:textId="77777777" w:rsidR="001A0935" w:rsidRDefault="001A0935" w:rsidP="001A0935">
      <w:pPr>
        <w:pStyle w:val="ListParagraph"/>
        <w:ind w:left="360"/>
        <w:rPr>
          <w:b/>
        </w:rPr>
      </w:pPr>
      <w:r w:rsidRPr="001A0935">
        <w:rPr>
          <w:b/>
        </w:rPr>
        <w:t>Overall, is the guidance on the provision of narrative text for this perspective clear.</w:t>
      </w:r>
    </w:p>
    <w:p w14:paraId="7C44B695" w14:textId="77777777" w:rsidR="001A0935" w:rsidRDefault="001A0935" w:rsidP="001A0935">
      <w:pPr>
        <w:pStyle w:val="ListParagraph"/>
        <w:ind w:left="360"/>
        <w:rPr>
          <w:b/>
        </w:rPr>
      </w:pPr>
    </w:p>
    <w:p w14:paraId="731D6165" w14:textId="77777777" w:rsidR="001A0935" w:rsidRDefault="001A0935" w:rsidP="001A0935">
      <w:pPr>
        <w:pStyle w:val="ListParagraph"/>
        <w:ind w:left="360"/>
      </w:pPr>
      <w:r w:rsidRPr="00072AEC">
        <w:t>Strongly disagre</w:t>
      </w:r>
      <w:r>
        <w:t>e</w:t>
      </w:r>
    </w:p>
    <w:p w14:paraId="492E55DA" w14:textId="77777777" w:rsidR="001A0935" w:rsidRDefault="001A0935" w:rsidP="001A0935">
      <w:pPr>
        <w:pStyle w:val="ListParagraph"/>
        <w:ind w:left="360"/>
      </w:pPr>
      <w:r w:rsidRPr="00072AEC">
        <w:t>Disagree</w:t>
      </w:r>
    </w:p>
    <w:p w14:paraId="11A07745" w14:textId="77777777" w:rsidR="001A0935" w:rsidRDefault="001A0935" w:rsidP="001A0935">
      <w:pPr>
        <w:pStyle w:val="ListParagraph"/>
        <w:ind w:left="360"/>
      </w:pPr>
      <w:r w:rsidRPr="00072AEC">
        <w:t>Somewhat disagree</w:t>
      </w:r>
    </w:p>
    <w:p w14:paraId="540C5B32" w14:textId="77777777" w:rsidR="001A0935" w:rsidRDefault="001A0935" w:rsidP="001A0935">
      <w:pPr>
        <w:pStyle w:val="ListParagraph"/>
        <w:ind w:left="360"/>
      </w:pPr>
      <w:r w:rsidRPr="00072AEC">
        <w:t>Somewhat agre</w:t>
      </w:r>
      <w:r>
        <w:t>e</w:t>
      </w:r>
    </w:p>
    <w:p w14:paraId="791371CA" w14:textId="77777777" w:rsidR="001A0935" w:rsidRDefault="001A0935" w:rsidP="001A0935">
      <w:pPr>
        <w:pStyle w:val="ListParagraph"/>
        <w:ind w:left="360"/>
      </w:pPr>
      <w:r w:rsidRPr="00567AC1">
        <w:rPr>
          <w:highlight w:val="yellow"/>
        </w:rPr>
        <w:t>Agree</w:t>
      </w:r>
    </w:p>
    <w:p w14:paraId="7A015069" w14:textId="77777777" w:rsidR="001A0935" w:rsidRDefault="001A0935" w:rsidP="001A0935">
      <w:pPr>
        <w:pStyle w:val="ListParagraph"/>
        <w:ind w:left="360"/>
      </w:pPr>
      <w:r w:rsidRPr="00567AC1">
        <w:t>Strongly agree</w:t>
      </w:r>
    </w:p>
    <w:p w14:paraId="1F76BA11" w14:textId="77777777" w:rsidR="001A0935" w:rsidRDefault="001A0935" w:rsidP="001A0935">
      <w:pPr>
        <w:pStyle w:val="ListParagraph"/>
        <w:ind w:left="360"/>
        <w:rPr>
          <w:b/>
        </w:rPr>
      </w:pPr>
    </w:p>
    <w:p w14:paraId="46052795" w14:textId="77777777" w:rsidR="001A0935" w:rsidRPr="001A0935" w:rsidRDefault="001A0935" w:rsidP="001A0935">
      <w:pPr>
        <w:pStyle w:val="ListParagraph"/>
        <w:ind w:left="360"/>
        <w:rPr>
          <w:b/>
        </w:rPr>
      </w:pPr>
      <w:r w:rsidRPr="001A0935">
        <w:rPr>
          <w:b/>
        </w:rPr>
        <w:t>Please comment on the proposal to include narrative from HEIs for the local growth and</w:t>
      </w:r>
    </w:p>
    <w:p w14:paraId="4ECC509D" w14:textId="77777777" w:rsidR="001A0935" w:rsidRPr="001A0935" w:rsidRDefault="001A0935" w:rsidP="001A0935">
      <w:pPr>
        <w:pStyle w:val="ListParagraph"/>
        <w:ind w:left="360"/>
        <w:rPr>
          <w:b/>
        </w:rPr>
      </w:pPr>
      <w:r w:rsidRPr="001A0935">
        <w:rPr>
          <w:b/>
        </w:rPr>
        <w:t>regeneration perspective, in particular:</w:t>
      </w:r>
    </w:p>
    <w:p w14:paraId="0F3D7227" w14:textId="0069E6F0" w:rsidR="001A0935" w:rsidRPr="001A0935" w:rsidRDefault="001A0935" w:rsidP="001A0935">
      <w:pPr>
        <w:pStyle w:val="ListParagraph"/>
        <w:numPr>
          <w:ilvl w:val="0"/>
          <w:numId w:val="10"/>
        </w:numPr>
        <w:rPr>
          <w:b/>
        </w:rPr>
      </w:pPr>
      <w:r w:rsidRPr="001A0935">
        <w:rPr>
          <w:b/>
        </w:rPr>
        <w:t>where further clarification is required</w:t>
      </w:r>
    </w:p>
    <w:p w14:paraId="4350F0D9" w14:textId="5287B1F9" w:rsidR="001A0935" w:rsidRPr="001A0935" w:rsidRDefault="001A0935" w:rsidP="001A0935">
      <w:pPr>
        <w:pStyle w:val="ListParagraph"/>
        <w:numPr>
          <w:ilvl w:val="0"/>
          <w:numId w:val="10"/>
        </w:numPr>
        <w:rPr>
          <w:b/>
        </w:rPr>
      </w:pPr>
      <w:r w:rsidRPr="001A0935">
        <w:rPr>
          <w:b/>
        </w:rPr>
        <w:t>where refinements could be made</w:t>
      </w:r>
    </w:p>
    <w:p w14:paraId="6340C36C" w14:textId="76FB3955" w:rsidR="001A0935" w:rsidRPr="001A0935" w:rsidRDefault="001A0935" w:rsidP="001A0935">
      <w:pPr>
        <w:pStyle w:val="ListParagraph"/>
        <w:numPr>
          <w:ilvl w:val="0"/>
          <w:numId w:val="10"/>
        </w:numPr>
        <w:rPr>
          <w:b/>
        </w:rPr>
      </w:pPr>
      <w:r w:rsidRPr="001A0935">
        <w:rPr>
          <w:b/>
        </w:rPr>
        <w:t>whether there are areas where more consistency across HEIs could be achieved</w:t>
      </w:r>
    </w:p>
    <w:p w14:paraId="424C544E" w14:textId="1E7043CA" w:rsidR="001A0935" w:rsidRDefault="001A0935" w:rsidP="001A0935">
      <w:pPr>
        <w:pStyle w:val="ListParagraph"/>
        <w:ind w:left="360"/>
        <w:rPr>
          <w:b/>
        </w:rPr>
      </w:pPr>
      <w:r w:rsidRPr="001A0935">
        <w:rPr>
          <w:b/>
        </w:rPr>
        <w:t>(400</w:t>
      </w:r>
      <w:r>
        <w:rPr>
          <w:b/>
        </w:rPr>
        <w:t>-</w:t>
      </w:r>
      <w:r w:rsidRPr="001A0935">
        <w:rPr>
          <w:b/>
        </w:rPr>
        <w:t>word limit)</w:t>
      </w:r>
    </w:p>
    <w:p w14:paraId="53E554CE" w14:textId="77777777" w:rsidR="001A0935" w:rsidRDefault="001A0935" w:rsidP="001A0935">
      <w:pPr>
        <w:pStyle w:val="ListParagraph"/>
        <w:ind w:left="360"/>
        <w:rPr>
          <w:b/>
        </w:rPr>
      </w:pPr>
    </w:p>
    <w:p w14:paraId="2A51F2B2" w14:textId="338EFC2C" w:rsidR="001A0935" w:rsidRDefault="00B757C7" w:rsidP="005B7190">
      <w:pPr>
        <w:pStyle w:val="ListParagraph"/>
        <w:ind w:left="360"/>
      </w:pPr>
      <w:r w:rsidRPr="00EF5041">
        <w:rPr>
          <w:highlight w:val="yellow"/>
        </w:rPr>
        <w:t>The explanation of what is required for this narrative is clear.</w:t>
      </w:r>
      <w:r w:rsidR="004E1590">
        <w:rPr>
          <w:highlight w:val="yellow"/>
        </w:rPr>
        <w:t xml:space="preserve"> In this case the College would wish to</w:t>
      </w:r>
      <w:r w:rsidR="00567AC1" w:rsidRPr="00EF5041">
        <w:rPr>
          <w:highlight w:val="yellow"/>
        </w:rPr>
        <w:t xml:space="preserve"> cite </w:t>
      </w:r>
      <w:r w:rsidR="004E1590">
        <w:rPr>
          <w:highlight w:val="yellow"/>
        </w:rPr>
        <w:t xml:space="preserve">at least two regions as its local area: </w:t>
      </w:r>
      <w:r w:rsidR="00567AC1" w:rsidRPr="00EF5041">
        <w:rPr>
          <w:highlight w:val="yellow"/>
        </w:rPr>
        <w:t>Hammersmith and Fulham (the area around its White City campu</w:t>
      </w:r>
      <w:r w:rsidR="004E1590">
        <w:rPr>
          <w:highlight w:val="yellow"/>
        </w:rPr>
        <w:t>s) and Kensington and Chelsea (the area surrounding its South Kensington campus)</w:t>
      </w:r>
      <w:r w:rsidR="00567AC1" w:rsidRPr="00EF5041">
        <w:rPr>
          <w:highlight w:val="yellow"/>
        </w:rPr>
        <w:t>. We would like to emphasise however, that highly research intensive institutions are likely to contribute to economic development beyond their immediate region, and in some cases beyond the UK. Cause and effect in local economic and industrial landscape is difficult to unpick.</w:t>
      </w:r>
    </w:p>
    <w:p w14:paraId="36C01EED" w14:textId="5A9FAA79" w:rsidR="001A0935" w:rsidRDefault="001A0935" w:rsidP="001A0935">
      <w:pPr>
        <w:pStyle w:val="ListParagraph"/>
        <w:ind w:left="360"/>
      </w:pPr>
    </w:p>
    <w:p w14:paraId="790C3732" w14:textId="3436B3F6" w:rsidR="001A0935" w:rsidRDefault="001A0935" w:rsidP="001A0935">
      <w:pPr>
        <w:autoSpaceDE w:val="0"/>
        <w:autoSpaceDN w:val="0"/>
        <w:adjustRightInd w:val="0"/>
        <w:spacing w:after="0" w:line="240" w:lineRule="auto"/>
        <w:rPr>
          <w:b/>
        </w:rPr>
      </w:pPr>
      <w:r w:rsidRPr="006C47CF">
        <w:rPr>
          <w:b/>
        </w:rPr>
        <w:t>We welcome responses on what other types of narrative or contextual information would be helpful. You may wish to consider, for example:</w:t>
      </w:r>
    </w:p>
    <w:p w14:paraId="31A2A9FA" w14:textId="77777777" w:rsidR="006C47CF" w:rsidRPr="006C47CF" w:rsidRDefault="006C47CF" w:rsidP="001A0935">
      <w:pPr>
        <w:autoSpaceDE w:val="0"/>
        <w:autoSpaceDN w:val="0"/>
        <w:adjustRightInd w:val="0"/>
        <w:spacing w:after="0" w:line="240" w:lineRule="auto"/>
        <w:rPr>
          <w:b/>
        </w:rPr>
      </w:pPr>
    </w:p>
    <w:p w14:paraId="64AE76D1" w14:textId="211D8203" w:rsidR="001A0935" w:rsidRPr="006C47CF" w:rsidRDefault="001A0935" w:rsidP="001A0935">
      <w:pPr>
        <w:pStyle w:val="ListParagraph"/>
        <w:numPr>
          <w:ilvl w:val="0"/>
          <w:numId w:val="11"/>
        </w:numPr>
        <w:autoSpaceDE w:val="0"/>
        <w:autoSpaceDN w:val="0"/>
        <w:adjustRightInd w:val="0"/>
        <w:spacing w:after="0" w:line="240" w:lineRule="auto"/>
        <w:rPr>
          <w:b/>
        </w:rPr>
      </w:pPr>
      <w:r w:rsidRPr="006C47CF">
        <w:rPr>
          <w:b/>
        </w:rPr>
        <w:t>Should the HEI or Research England provide other narrative information?</w:t>
      </w:r>
    </w:p>
    <w:p w14:paraId="70370D44" w14:textId="3BCA2BE3" w:rsidR="001A0935" w:rsidRPr="006C47CF" w:rsidRDefault="001A0935" w:rsidP="0034665D">
      <w:pPr>
        <w:pStyle w:val="ListParagraph"/>
        <w:numPr>
          <w:ilvl w:val="0"/>
          <w:numId w:val="11"/>
        </w:numPr>
        <w:autoSpaceDE w:val="0"/>
        <w:autoSpaceDN w:val="0"/>
        <w:adjustRightInd w:val="0"/>
        <w:spacing w:after="0" w:line="240" w:lineRule="auto"/>
        <w:rPr>
          <w:b/>
        </w:rPr>
      </w:pPr>
      <w:r w:rsidRPr="006C47CF">
        <w:rPr>
          <w:b/>
        </w:rPr>
        <w:lastRenderedPageBreak/>
        <w:t>How should we use other contextual information, such as information on local economic</w:t>
      </w:r>
      <w:r w:rsidR="0034665D" w:rsidRPr="006C47CF">
        <w:rPr>
          <w:b/>
        </w:rPr>
        <w:t xml:space="preserve"> </w:t>
      </w:r>
      <w:r w:rsidRPr="006C47CF">
        <w:rPr>
          <w:b/>
        </w:rPr>
        <w:t>competitiveness described in section 5 of the cluster analysis report?</w:t>
      </w:r>
    </w:p>
    <w:p w14:paraId="0B04CD70" w14:textId="627F8667" w:rsidR="001A0935" w:rsidRPr="006C47CF" w:rsidRDefault="001A0935" w:rsidP="001A0935">
      <w:pPr>
        <w:pStyle w:val="ListParagraph"/>
        <w:numPr>
          <w:ilvl w:val="0"/>
          <w:numId w:val="11"/>
        </w:numPr>
        <w:autoSpaceDE w:val="0"/>
        <w:autoSpaceDN w:val="0"/>
        <w:adjustRightInd w:val="0"/>
        <w:spacing w:after="0" w:line="240" w:lineRule="auto"/>
        <w:rPr>
          <w:b/>
        </w:rPr>
      </w:pPr>
      <w:r w:rsidRPr="006C47CF">
        <w:rPr>
          <w:b/>
        </w:rPr>
        <w:t>Would other perspectives benefit significantly from further narrative information?</w:t>
      </w:r>
    </w:p>
    <w:p w14:paraId="3A5BD27A" w14:textId="57F53C45" w:rsidR="001A0935" w:rsidRPr="006C47CF" w:rsidRDefault="001A0935" w:rsidP="001A0935">
      <w:pPr>
        <w:pStyle w:val="ListParagraph"/>
        <w:numPr>
          <w:ilvl w:val="0"/>
          <w:numId w:val="11"/>
        </w:numPr>
        <w:autoSpaceDE w:val="0"/>
        <w:autoSpaceDN w:val="0"/>
        <w:adjustRightInd w:val="0"/>
        <w:spacing w:after="0" w:line="240" w:lineRule="auto"/>
        <w:rPr>
          <w:b/>
        </w:rPr>
      </w:pPr>
      <w:r w:rsidRPr="006C47CF">
        <w:rPr>
          <w:b/>
        </w:rPr>
        <w:t>Would the benefit of adding further narrative information be outweighed by the burden of doing so?</w:t>
      </w:r>
    </w:p>
    <w:p w14:paraId="769A1C6C" w14:textId="77777777" w:rsidR="001A0935" w:rsidRDefault="001A0935" w:rsidP="001A0935">
      <w:pPr>
        <w:pStyle w:val="ListParagraph"/>
        <w:ind w:left="360"/>
      </w:pPr>
    </w:p>
    <w:tbl>
      <w:tblPr>
        <w:tblStyle w:val="TableGrid"/>
        <w:tblW w:w="0" w:type="auto"/>
        <w:tblInd w:w="360" w:type="dxa"/>
        <w:tblLook w:val="04A0" w:firstRow="1" w:lastRow="0" w:firstColumn="1" w:lastColumn="0" w:noHBand="0" w:noVBand="1"/>
      </w:tblPr>
      <w:tblGrid>
        <w:gridCol w:w="2402"/>
        <w:gridCol w:w="917"/>
        <w:gridCol w:w="852"/>
        <w:gridCol w:w="1031"/>
        <w:gridCol w:w="997"/>
        <w:gridCol w:w="822"/>
        <w:gridCol w:w="843"/>
        <w:gridCol w:w="792"/>
      </w:tblGrid>
      <w:tr w:rsidR="001A0935" w:rsidRPr="003F021D" w14:paraId="6EACE607" w14:textId="77777777" w:rsidTr="00D1722A">
        <w:tc>
          <w:tcPr>
            <w:tcW w:w="2404" w:type="dxa"/>
          </w:tcPr>
          <w:p w14:paraId="1C4B4560" w14:textId="77777777" w:rsidR="001A0935" w:rsidRDefault="001A0935" w:rsidP="00D1722A">
            <w:pPr>
              <w:pStyle w:val="ListParagraph"/>
              <w:ind w:left="0"/>
            </w:pPr>
          </w:p>
        </w:tc>
        <w:tc>
          <w:tcPr>
            <w:tcW w:w="917" w:type="dxa"/>
          </w:tcPr>
          <w:p w14:paraId="0EB131C5" w14:textId="77777777" w:rsidR="001A0935" w:rsidRPr="003F021D" w:rsidRDefault="001A0935" w:rsidP="00D1722A">
            <w:pPr>
              <w:pStyle w:val="ListParagraph"/>
              <w:ind w:left="0"/>
              <w:rPr>
                <w:sz w:val="18"/>
                <w:szCs w:val="18"/>
              </w:rPr>
            </w:pPr>
            <w:r w:rsidRPr="003F021D">
              <w:rPr>
                <w:sz w:val="18"/>
                <w:szCs w:val="18"/>
              </w:rPr>
              <w:t>Strongly disagree</w:t>
            </w:r>
          </w:p>
        </w:tc>
        <w:tc>
          <w:tcPr>
            <w:tcW w:w="850" w:type="dxa"/>
          </w:tcPr>
          <w:p w14:paraId="3ECF0764" w14:textId="77777777" w:rsidR="001A0935" w:rsidRPr="003F021D" w:rsidRDefault="001A0935" w:rsidP="00D1722A">
            <w:pPr>
              <w:pStyle w:val="ListParagraph"/>
              <w:ind w:left="0"/>
              <w:rPr>
                <w:sz w:val="18"/>
                <w:szCs w:val="18"/>
              </w:rPr>
            </w:pPr>
            <w:r w:rsidRPr="003F021D">
              <w:rPr>
                <w:sz w:val="18"/>
                <w:szCs w:val="18"/>
              </w:rPr>
              <w:t>Disagree</w:t>
            </w:r>
          </w:p>
        </w:tc>
        <w:tc>
          <w:tcPr>
            <w:tcW w:w="1031" w:type="dxa"/>
          </w:tcPr>
          <w:p w14:paraId="275B6358" w14:textId="77777777" w:rsidR="001A0935" w:rsidRPr="003F021D" w:rsidRDefault="001A0935" w:rsidP="00D1722A">
            <w:pPr>
              <w:pStyle w:val="ListParagraph"/>
              <w:ind w:left="0"/>
              <w:rPr>
                <w:sz w:val="18"/>
                <w:szCs w:val="18"/>
              </w:rPr>
            </w:pPr>
            <w:r w:rsidRPr="003F021D">
              <w:rPr>
                <w:sz w:val="18"/>
                <w:szCs w:val="18"/>
              </w:rPr>
              <w:t>Somewhat disagree</w:t>
            </w:r>
          </w:p>
        </w:tc>
        <w:tc>
          <w:tcPr>
            <w:tcW w:w="997" w:type="dxa"/>
          </w:tcPr>
          <w:p w14:paraId="77FEDC8A" w14:textId="77777777" w:rsidR="001A0935" w:rsidRPr="003F021D" w:rsidRDefault="001A0935" w:rsidP="00D1722A">
            <w:pPr>
              <w:pStyle w:val="ListParagraph"/>
              <w:ind w:left="0"/>
              <w:rPr>
                <w:sz w:val="18"/>
                <w:szCs w:val="18"/>
              </w:rPr>
            </w:pPr>
            <w:r w:rsidRPr="003F021D">
              <w:rPr>
                <w:sz w:val="18"/>
                <w:szCs w:val="18"/>
              </w:rPr>
              <w:t>Somewhat agree</w:t>
            </w:r>
          </w:p>
        </w:tc>
        <w:tc>
          <w:tcPr>
            <w:tcW w:w="822" w:type="dxa"/>
          </w:tcPr>
          <w:p w14:paraId="075F9578" w14:textId="77777777" w:rsidR="001A0935" w:rsidRPr="003F021D" w:rsidRDefault="001A0935" w:rsidP="00D1722A">
            <w:pPr>
              <w:pStyle w:val="ListParagraph"/>
              <w:ind w:left="0"/>
              <w:rPr>
                <w:sz w:val="18"/>
                <w:szCs w:val="18"/>
              </w:rPr>
            </w:pPr>
            <w:r w:rsidRPr="003F021D">
              <w:rPr>
                <w:sz w:val="18"/>
                <w:szCs w:val="18"/>
              </w:rPr>
              <w:t>Agree</w:t>
            </w:r>
          </w:p>
        </w:tc>
        <w:tc>
          <w:tcPr>
            <w:tcW w:w="843" w:type="dxa"/>
          </w:tcPr>
          <w:p w14:paraId="78F5CF78" w14:textId="77777777" w:rsidR="001A0935" w:rsidRPr="003F021D" w:rsidRDefault="001A0935" w:rsidP="00D1722A">
            <w:pPr>
              <w:pStyle w:val="ListParagraph"/>
              <w:ind w:left="0"/>
              <w:rPr>
                <w:sz w:val="18"/>
                <w:szCs w:val="18"/>
              </w:rPr>
            </w:pPr>
            <w:r w:rsidRPr="003F021D">
              <w:rPr>
                <w:sz w:val="18"/>
                <w:szCs w:val="18"/>
              </w:rPr>
              <w:t>Strongly agree</w:t>
            </w:r>
          </w:p>
        </w:tc>
        <w:tc>
          <w:tcPr>
            <w:tcW w:w="792" w:type="dxa"/>
          </w:tcPr>
          <w:p w14:paraId="09251540" w14:textId="77777777" w:rsidR="001A0935" w:rsidRPr="003F021D" w:rsidRDefault="001A0935" w:rsidP="00D1722A">
            <w:pPr>
              <w:pStyle w:val="ListParagraph"/>
              <w:ind w:left="0"/>
              <w:rPr>
                <w:sz w:val="18"/>
                <w:szCs w:val="18"/>
              </w:rPr>
            </w:pPr>
            <w:r w:rsidRPr="003F021D">
              <w:rPr>
                <w:sz w:val="18"/>
                <w:szCs w:val="18"/>
              </w:rPr>
              <w:t>No opinion</w:t>
            </w:r>
          </w:p>
        </w:tc>
      </w:tr>
      <w:tr w:rsidR="001A0935" w14:paraId="76133A7A" w14:textId="77777777" w:rsidTr="00D1722A">
        <w:tc>
          <w:tcPr>
            <w:tcW w:w="2404" w:type="dxa"/>
          </w:tcPr>
          <w:p w14:paraId="37685B29" w14:textId="500F4E8B" w:rsidR="001A0935" w:rsidRDefault="001A0935" w:rsidP="001A36C9">
            <w:pPr>
              <w:pStyle w:val="ListParagraph"/>
              <w:ind w:left="0"/>
            </w:pPr>
            <w:r w:rsidRPr="001A0935">
              <w:t>Overarching</w:t>
            </w:r>
            <w:r w:rsidR="001A36C9">
              <w:t xml:space="preserve"> </w:t>
            </w:r>
            <w:r w:rsidRPr="001A0935">
              <w:t>institutional</w:t>
            </w:r>
            <w:r w:rsidR="001A36C9">
              <w:t xml:space="preserve"> </w:t>
            </w:r>
            <w:r w:rsidRPr="001A0935">
              <w:t xml:space="preserve">statement </w:t>
            </w:r>
            <w:r w:rsidR="001A36C9">
              <w:t>–</w:t>
            </w:r>
            <w:r w:rsidRPr="001A0935">
              <w:t xml:space="preserve"> provided</w:t>
            </w:r>
            <w:r w:rsidR="001A36C9">
              <w:t xml:space="preserve"> </w:t>
            </w:r>
            <w:r w:rsidRPr="001A0935">
              <w:t>by the HEI</w:t>
            </w:r>
          </w:p>
        </w:tc>
        <w:tc>
          <w:tcPr>
            <w:tcW w:w="917" w:type="dxa"/>
          </w:tcPr>
          <w:p w14:paraId="397DF59B" w14:textId="406E18EC" w:rsidR="001A0935" w:rsidRPr="00EF5041" w:rsidRDefault="001A0935" w:rsidP="00D1722A">
            <w:pPr>
              <w:pStyle w:val="ListParagraph"/>
              <w:ind w:left="0"/>
              <w:rPr>
                <w:highlight w:val="yellow"/>
              </w:rPr>
            </w:pPr>
          </w:p>
        </w:tc>
        <w:tc>
          <w:tcPr>
            <w:tcW w:w="850" w:type="dxa"/>
          </w:tcPr>
          <w:p w14:paraId="3044209D" w14:textId="77777777" w:rsidR="001A0935" w:rsidRPr="00EF5041" w:rsidRDefault="001A0935" w:rsidP="00D1722A">
            <w:pPr>
              <w:pStyle w:val="ListParagraph"/>
              <w:ind w:left="0"/>
              <w:rPr>
                <w:highlight w:val="yellow"/>
              </w:rPr>
            </w:pPr>
          </w:p>
        </w:tc>
        <w:tc>
          <w:tcPr>
            <w:tcW w:w="1031" w:type="dxa"/>
          </w:tcPr>
          <w:p w14:paraId="40A3F0B1" w14:textId="77777777" w:rsidR="001A0935" w:rsidRPr="00EF5041" w:rsidRDefault="001A0935" w:rsidP="00D1722A">
            <w:pPr>
              <w:pStyle w:val="ListParagraph"/>
              <w:ind w:left="0"/>
              <w:rPr>
                <w:highlight w:val="yellow"/>
              </w:rPr>
            </w:pPr>
          </w:p>
        </w:tc>
        <w:tc>
          <w:tcPr>
            <w:tcW w:w="997" w:type="dxa"/>
          </w:tcPr>
          <w:p w14:paraId="6C557EFB" w14:textId="77777777" w:rsidR="001A0935" w:rsidRPr="00EF5041" w:rsidRDefault="001A0935" w:rsidP="00D1722A">
            <w:pPr>
              <w:pStyle w:val="ListParagraph"/>
              <w:ind w:left="0"/>
              <w:rPr>
                <w:highlight w:val="yellow"/>
              </w:rPr>
            </w:pPr>
          </w:p>
        </w:tc>
        <w:tc>
          <w:tcPr>
            <w:tcW w:w="822" w:type="dxa"/>
          </w:tcPr>
          <w:p w14:paraId="26F5445E" w14:textId="77777777" w:rsidR="001A0935" w:rsidRPr="00EF5041" w:rsidRDefault="001A0935" w:rsidP="00D1722A">
            <w:pPr>
              <w:pStyle w:val="ListParagraph"/>
              <w:ind w:left="0"/>
              <w:rPr>
                <w:highlight w:val="yellow"/>
              </w:rPr>
            </w:pPr>
          </w:p>
        </w:tc>
        <w:tc>
          <w:tcPr>
            <w:tcW w:w="843" w:type="dxa"/>
          </w:tcPr>
          <w:p w14:paraId="2A4C9441" w14:textId="0ED0E9A7" w:rsidR="001A0935" w:rsidRPr="00EF5041" w:rsidRDefault="00567AC1" w:rsidP="00D1722A">
            <w:pPr>
              <w:pStyle w:val="ListParagraph"/>
              <w:ind w:left="0"/>
              <w:rPr>
                <w:highlight w:val="yellow"/>
              </w:rPr>
            </w:pPr>
            <w:r w:rsidRPr="00EF5041">
              <w:rPr>
                <w:highlight w:val="yellow"/>
              </w:rPr>
              <w:t>Yes</w:t>
            </w:r>
          </w:p>
        </w:tc>
        <w:tc>
          <w:tcPr>
            <w:tcW w:w="792" w:type="dxa"/>
          </w:tcPr>
          <w:p w14:paraId="56E04DBD" w14:textId="77777777" w:rsidR="001A0935" w:rsidRPr="00EF5041" w:rsidRDefault="001A0935" w:rsidP="00D1722A">
            <w:pPr>
              <w:pStyle w:val="ListParagraph"/>
              <w:ind w:left="0"/>
              <w:rPr>
                <w:highlight w:val="yellow"/>
              </w:rPr>
            </w:pPr>
          </w:p>
        </w:tc>
      </w:tr>
      <w:tr w:rsidR="001A0935" w14:paraId="73A21B19" w14:textId="77777777" w:rsidTr="00D1722A">
        <w:tc>
          <w:tcPr>
            <w:tcW w:w="2404" w:type="dxa"/>
          </w:tcPr>
          <w:p w14:paraId="4684CF4C" w14:textId="5283F8F7" w:rsidR="001A0935" w:rsidRDefault="001A0935" w:rsidP="001A36C9">
            <w:pPr>
              <w:pStyle w:val="ListParagraph"/>
              <w:ind w:left="0"/>
            </w:pPr>
            <w:r w:rsidRPr="001A0935">
              <w:t>Overarching</w:t>
            </w:r>
            <w:r w:rsidR="001A36C9">
              <w:t xml:space="preserve"> </w:t>
            </w:r>
            <w:r w:rsidRPr="001A0935">
              <w:t>institutional</w:t>
            </w:r>
            <w:r w:rsidR="001A36C9">
              <w:t xml:space="preserve"> </w:t>
            </w:r>
            <w:r w:rsidRPr="001A0935">
              <w:t xml:space="preserve">statement </w:t>
            </w:r>
            <w:r w:rsidR="001A36C9">
              <w:t>–</w:t>
            </w:r>
            <w:r w:rsidRPr="001A0935">
              <w:t xml:space="preserve"> provided</w:t>
            </w:r>
            <w:r w:rsidR="001A36C9">
              <w:t xml:space="preserve"> </w:t>
            </w:r>
            <w:r w:rsidRPr="001A0935">
              <w:t>by Research</w:t>
            </w:r>
            <w:r w:rsidR="001A36C9">
              <w:t xml:space="preserve"> </w:t>
            </w:r>
            <w:r w:rsidRPr="001A0935">
              <w:t>England</w:t>
            </w:r>
          </w:p>
        </w:tc>
        <w:tc>
          <w:tcPr>
            <w:tcW w:w="917" w:type="dxa"/>
          </w:tcPr>
          <w:p w14:paraId="70117AB6" w14:textId="77777777" w:rsidR="001A0935" w:rsidRPr="00EF5041" w:rsidRDefault="001A0935" w:rsidP="00D1722A">
            <w:pPr>
              <w:pStyle w:val="ListParagraph"/>
              <w:ind w:left="0"/>
              <w:rPr>
                <w:highlight w:val="yellow"/>
              </w:rPr>
            </w:pPr>
          </w:p>
        </w:tc>
        <w:tc>
          <w:tcPr>
            <w:tcW w:w="850" w:type="dxa"/>
          </w:tcPr>
          <w:p w14:paraId="699D8BBB" w14:textId="77777777" w:rsidR="001A0935" w:rsidRPr="00EF5041" w:rsidRDefault="001A0935" w:rsidP="00D1722A">
            <w:pPr>
              <w:pStyle w:val="ListParagraph"/>
              <w:ind w:left="0"/>
              <w:rPr>
                <w:highlight w:val="yellow"/>
              </w:rPr>
            </w:pPr>
          </w:p>
        </w:tc>
        <w:tc>
          <w:tcPr>
            <w:tcW w:w="1031" w:type="dxa"/>
          </w:tcPr>
          <w:p w14:paraId="5C066943" w14:textId="77777777" w:rsidR="001A0935" w:rsidRPr="00EF5041" w:rsidRDefault="001A0935" w:rsidP="00D1722A">
            <w:pPr>
              <w:pStyle w:val="ListParagraph"/>
              <w:ind w:left="0"/>
              <w:rPr>
                <w:highlight w:val="yellow"/>
              </w:rPr>
            </w:pPr>
          </w:p>
        </w:tc>
        <w:tc>
          <w:tcPr>
            <w:tcW w:w="997" w:type="dxa"/>
          </w:tcPr>
          <w:p w14:paraId="7D01117E" w14:textId="77777777" w:rsidR="001A0935" w:rsidRPr="00EF5041" w:rsidRDefault="001A0935" w:rsidP="00D1722A">
            <w:pPr>
              <w:pStyle w:val="ListParagraph"/>
              <w:ind w:left="0"/>
              <w:rPr>
                <w:highlight w:val="yellow"/>
              </w:rPr>
            </w:pPr>
          </w:p>
        </w:tc>
        <w:tc>
          <w:tcPr>
            <w:tcW w:w="822" w:type="dxa"/>
          </w:tcPr>
          <w:p w14:paraId="2D090D07" w14:textId="371FBA26" w:rsidR="001A0935" w:rsidRPr="00EF5041" w:rsidRDefault="00EF5041" w:rsidP="00D1722A">
            <w:pPr>
              <w:pStyle w:val="ListParagraph"/>
              <w:ind w:left="0"/>
              <w:rPr>
                <w:highlight w:val="yellow"/>
              </w:rPr>
            </w:pPr>
            <w:r>
              <w:rPr>
                <w:highlight w:val="yellow"/>
              </w:rPr>
              <w:t>Yes</w:t>
            </w:r>
          </w:p>
        </w:tc>
        <w:tc>
          <w:tcPr>
            <w:tcW w:w="843" w:type="dxa"/>
          </w:tcPr>
          <w:p w14:paraId="4F45A1EE" w14:textId="77777777" w:rsidR="001A0935" w:rsidRPr="00EF5041" w:rsidRDefault="001A0935" w:rsidP="00D1722A">
            <w:pPr>
              <w:pStyle w:val="ListParagraph"/>
              <w:ind w:left="0"/>
              <w:rPr>
                <w:highlight w:val="yellow"/>
              </w:rPr>
            </w:pPr>
          </w:p>
        </w:tc>
        <w:tc>
          <w:tcPr>
            <w:tcW w:w="792" w:type="dxa"/>
          </w:tcPr>
          <w:p w14:paraId="3D61FFE0" w14:textId="77777777" w:rsidR="001A0935" w:rsidRPr="00EF5041" w:rsidRDefault="001A0935" w:rsidP="00D1722A">
            <w:pPr>
              <w:pStyle w:val="ListParagraph"/>
              <w:ind w:left="0"/>
              <w:rPr>
                <w:highlight w:val="yellow"/>
              </w:rPr>
            </w:pPr>
          </w:p>
        </w:tc>
      </w:tr>
    </w:tbl>
    <w:p w14:paraId="024358DC" w14:textId="77777777" w:rsidR="001A36C9" w:rsidRDefault="001A36C9" w:rsidP="001A0935">
      <w:pPr>
        <w:pStyle w:val="ListParagraph"/>
        <w:ind w:left="360"/>
      </w:pPr>
    </w:p>
    <w:p w14:paraId="597D447D" w14:textId="7F1B413A" w:rsidR="005B7190" w:rsidRPr="00825A20" w:rsidRDefault="00567AC1" w:rsidP="005B7190">
      <w:pPr>
        <w:pStyle w:val="ListParagraph"/>
        <w:ind w:left="360"/>
      </w:pPr>
      <w:r w:rsidRPr="00EF5041">
        <w:rPr>
          <w:highlight w:val="yellow"/>
        </w:rPr>
        <w:t>The College believes that each institution should be able to provide a narrative explaining what its particular strategic intentions and priorities are relating to knowledge exchange, as this will provide important context for the KEF metrics. Therefore, the College is in favour of an overarching institutional statement to be provided by the HEI.</w:t>
      </w:r>
      <w:r w:rsidR="004C38E2">
        <w:t xml:space="preserve"> </w:t>
      </w:r>
    </w:p>
    <w:p w14:paraId="7C35C556" w14:textId="77777777" w:rsidR="006C47CF" w:rsidRDefault="0065579A" w:rsidP="0034665D">
      <w:pPr>
        <w:autoSpaceDE w:val="0"/>
        <w:autoSpaceDN w:val="0"/>
        <w:adjustRightInd w:val="0"/>
        <w:spacing w:after="0" w:line="240" w:lineRule="auto"/>
        <w:rPr>
          <w:b/>
        </w:rPr>
      </w:pPr>
      <w:r>
        <w:rPr>
          <w:b/>
        </w:rPr>
        <w:t>9</w:t>
      </w:r>
      <w:r w:rsidRPr="00507CA4">
        <w:rPr>
          <w:b/>
        </w:rPr>
        <w:t xml:space="preserve">. </w:t>
      </w:r>
      <w:r w:rsidR="00B95D4C">
        <w:rPr>
          <w:b/>
        </w:rPr>
        <w:t>Visualisation</w:t>
      </w:r>
    </w:p>
    <w:p w14:paraId="7CE901B7" w14:textId="77777777" w:rsidR="006C47CF" w:rsidRDefault="006C47CF" w:rsidP="0034665D">
      <w:pPr>
        <w:autoSpaceDE w:val="0"/>
        <w:autoSpaceDN w:val="0"/>
        <w:adjustRightInd w:val="0"/>
        <w:spacing w:after="0" w:line="240" w:lineRule="auto"/>
        <w:rPr>
          <w:b/>
        </w:rPr>
      </w:pPr>
    </w:p>
    <w:p w14:paraId="590F2ABA" w14:textId="35E06755" w:rsidR="0034665D" w:rsidRPr="0034665D" w:rsidRDefault="0034665D" w:rsidP="0034665D">
      <w:pPr>
        <w:autoSpaceDE w:val="0"/>
        <w:autoSpaceDN w:val="0"/>
        <w:adjustRightInd w:val="0"/>
        <w:spacing w:after="0" w:line="240" w:lineRule="auto"/>
        <w:rPr>
          <w:b/>
        </w:rPr>
      </w:pPr>
      <w:r w:rsidRPr="0034665D">
        <w:rPr>
          <w:b/>
        </w:rPr>
        <w:t>We have provided further information including example visualisations of the KEF within the consultation document.</w:t>
      </w:r>
    </w:p>
    <w:p w14:paraId="35E71077" w14:textId="6E8210EC" w:rsidR="0034665D" w:rsidRPr="0034665D" w:rsidRDefault="0034665D" w:rsidP="0034665D">
      <w:pPr>
        <w:autoSpaceDE w:val="0"/>
        <w:autoSpaceDN w:val="0"/>
        <w:adjustRightInd w:val="0"/>
        <w:spacing w:after="0" w:line="240" w:lineRule="auto"/>
        <w:rPr>
          <w:b/>
        </w:rPr>
      </w:pPr>
    </w:p>
    <w:p w14:paraId="7C6F7879" w14:textId="77777777" w:rsidR="0034665D" w:rsidRPr="0034665D" w:rsidRDefault="0034665D" w:rsidP="0034665D">
      <w:pPr>
        <w:autoSpaceDE w:val="0"/>
        <w:autoSpaceDN w:val="0"/>
        <w:adjustRightInd w:val="0"/>
        <w:spacing w:after="0" w:line="240" w:lineRule="auto"/>
        <w:rPr>
          <w:b/>
        </w:rPr>
      </w:pPr>
      <w:r w:rsidRPr="0034665D">
        <w:rPr>
          <w:b/>
        </w:rPr>
        <w:t>Please indicate [using a % slider scale] your level of support for the proposed method of</w:t>
      </w:r>
    </w:p>
    <w:p w14:paraId="1A6935C8" w14:textId="33B0C2F5" w:rsidR="0034665D" w:rsidRDefault="0034665D" w:rsidP="0034665D">
      <w:pPr>
        <w:autoSpaceDE w:val="0"/>
        <w:autoSpaceDN w:val="0"/>
        <w:adjustRightInd w:val="0"/>
        <w:spacing w:after="0" w:line="240" w:lineRule="auto"/>
        <w:rPr>
          <w:b/>
        </w:rPr>
      </w:pPr>
      <w:r w:rsidRPr="0034665D">
        <w:rPr>
          <w:b/>
        </w:rPr>
        <w:t>comparison and visualisation</w:t>
      </w:r>
      <w:r w:rsidR="00F77FDB">
        <w:rPr>
          <w:b/>
        </w:rPr>
        <w:t>.</w:t>
      </w:r>
    </w:p>
    <w:p w14:paraId="537F6F56" w14:textId="77777777" w:rsidR="0034665D" w:rsidRPr="0034665D" w:rsidRDefault="0034665D" w:rsidP="0034665D">
      <w:pPr>
        <w:autoSpaceDE w:val="0"/>
        <w:autoSpaceDN w:val="0"/>
        <w:adjustRightInd w:val="0"/>
        <w:spacing w:after="0" w:line="240" w:lineRule="auto"/>
        <w:rPr>
          <w:b/>
        </w:rPr>
      </w:pPr>
    </w:p>
    <w:p w14:paraId="5140F4D9" w14:textId="526EB19B" w:rsidR="0034665D" w:rsidRDefault="0034665D" w:rsidP="0034665D">
      <w:pPr>
        <w:autoSpaceDE w:val="0"/>
        <w:autoSpaceDN w:val="0"/>
        <w:adjustRightInd w:val="0"/>
        <w:spacing w:after="0" w:line="240" w:lineRule="auto"/>
      </w:pPr>
      <w:r w:rsidRPr="0034665D">
        <w:t>Each of the seven perspectives is to be given equal weighting.</w:t>
      </w:r>
      <w:r w:rsidR="00C229C0">
        <w:t xml:space="preserve"> </w:t>
      </w:r>
      <w:r w:rsidR="00C229C0">
        <w:rPr>
          <w:highlight w:val="yellow"/>
        </w:rPr>
        <w:t>75</w:t>
      </w:r>
      <w:r w:rsidR="00C229C0" w:rsidRPr="00C229C0">
        <w:rPr>
          <w:highlight w:val="yellow"/>
        </w:rPr>
        <w:t>%</w:t>
      </w:r>
    </w:p>
    <w:p w14:paraId="3A5C0898" w14:textId="77777777" w:rsidR="0034665D" w:rsidRPr="0034665D" w:rsidRDefault="0034665D" w:rsidP="0034665D">
      <w:pPr>
        <w:autoSpaceDE w:val="0"/>
        <w:autoSpaceDN w:val="0"/>
        <w:adjustRightInd w:val="0"/>
        <w:spacing w:after="0" w:line="240" w:lineRule="auto"/>
      </w:pPr>
    </w:p>
    <w:p w14:paraId="43FE15B4" w14:textId="39041916" w:rsidR="0034665D" w:rsidRDefault="0034665D" w:rsidP="0034665D">
      <w:pPr>
        <w:autoSpaceDE w:val="0"/>
        <w:autoSpaceDN w:val="0"/>
        <w:adjustRightInd w:val="0"/>
        <w:spacing w:after="0" w:line="240" w:lineRule="auto"/>
      </w:pPr>
      <w:r w:rsidRPr="0034665D">
        <w:t>Metrics under each perspective are to be normalised and summed.</w:t>
      </w:r>
      <w:r w:rsidR="00C229C0">
        <w:t xml:space="preserve"> </w:t>
      </w:r>
      <w:r w:rsidR="00C229C0">
        <w:rPr>
          <w:highlight w:val="yellow"/>
        </w:rPr>
        <w:t>25</w:t>
      </w:r>
      <w:r w:rsidR="00C229C0" w:rsidRPr="00C229C0">
        <w:rPr>
          <w:highlight w:val="yellow"/>
        </w:rPr>
        <w:t>%</w:t>
      </w:r>
    </w:p>
    <w:p w14:paraId="7D6CD1FB" w14:textId="77777777" w:rsidR="0034665D" w:rsidRPr="0034665D" w:rsidRDefault="0034665D" w:rsidP="0034665D">
      <w:pPr>
        <w:autoSpaceDE w:val="0"/>
        <w:autoSpaceDN w:val="0"/>
        <w:adjustRightInd w:val="0"/>
        <w:spacing w:after="0" w:line="240" w:lineRule="auto"/>
      </w:pPr>
    </w:p>
    <w:p w14:paraId="05937150" w14:textId="77777777" w:rsidR="0034665D" w:rsidRPr="0034665D" w:rsidRDefault="0034665D" w:rsidP="0034665D">
      <w:pPr>
        <w:autoSpaceDE w:val="0"/>
        <w:autoSpaceDN w:val="0"/>
        <w:adjustRightInd w:val="0"/>
        <w:spacing w:after="0" w:line="240" w:lineRule="auto"/>
      </w:pPr>
      <w:r w:rsidRPr="0034665D">
        <w:t>The performance of each HEI is to be expressed in a radar chart in deciles, relative to the</w:t>
      </w:r>
    </w:p>
    <w:p w14:paraId="046EB227" w14:textId="252F110D" w:rsidR="0034665D" w:rsidRDefault="0034665D" w:rsidP="0034665D">
      <w:pPr>
        <w:autoSpaceDE w:val="0"/>
        <w:autoSpaceDN w:val="0"/>
        <w:adjustRightInd w:val="0"/>
        <w:spacing w:after="0" w:line="240" w:lineRule="auto"/>
      </w:pPr>
      <w:r w:rsidRPr="0034665D">
        <w:t>mean average decile of the peer group.</w:t>
      </w:r>
      <w:r w:rsidR="00C229C0">
        <w:t xml:space="preserve"> </w:t>
      </w:r>
      <w:r w:rsidR="00C229C0" w:rsidRPr="00C229C0">
        <w:rPr>
          <w:highlight w:val="yellow"/>
        </w:rPr>
        <w:t>50%</w:t>
      </w:r>
    </w:p>
    <w:p w14:paraId="3CFA6733" w14:textId="77777777" w:rsidR="0034665D" w:rsidRPr="0034665D" w:rsidRDefault="0034665D" w:rsidP="0034665D">
      <w:pPr>
        <w:autoSpaceDE w:val="0"/>
        <w:autoSpaceDN w:val="0"/>
        <w:adjustRightInd w:val="0"/>
        <w:spacing w:after="0" w:line="240" w:lineRule="auto"/>
      </w:pPr>
    </w:p>
    <w:p w14:paraId="25B53C77" w14:textId="57124BC9" w:rsidR="0034665D" w:rsidRDefault="0034665D" w:rsidP="0034665D">
      <w:pPr>
        <w:autoSpaceDE w:val="0"/>
        <w:autoSpaceDN w:val="0"/>
        <w:adjustRightInd w:val="0"/>
        <w:spacing w:after="0" w:line="240" w:lineRule="auto"/>
      </w:pPr>
      <w:r w:rsidRPr="0034665D">
        <w:t>Perspectives are not intended to be aggregated into a single score.</w:t>
      </w:r>
      <w:r w:rsidR="00C229C0">
        <w:t xml:space="preserve"> </w:t>
      </w:r>
      <w:r w:rsidR="00C229C0">
        <w:rPr>
          <w:highlight w:val="yellow"/>
        </w:rPr>
        <w:t>10</w:t>
      </w:r>
      <w:r w:rsidR="00C229C0" w:rsidRPr="00C229C0">
        <w:rPr>
          <w:highlight w:val="yellow"/>
        </w:rPr>
        <w:t>0%</w:t>
      </w:r>
    </w:p>
    <w:p w14:paraId="11F54332" w14:textId="77777777" w:rsidR="0034665D" w:rsidRPr="0034665D" w:rsidRDefault="0034665D" w:rsidP="0034665D">
      <w:pPr>
        <w:autoSpaceDE w:val="0"/>
        <w:autoSpaceDN w:val="0"/>
        <w:adjustRightInd w:val="0"/>
        <w:spacing w:after="0" w:line="240" w:lineRule="auto"/>
      </w:pPr>
    </w:p>
    <w:p w14:paraId="34DD60D8" w14:textId="77777777" w:rsidR="0034665D" w:rsidRPr="0034665D" w:rsidRDefault="0034665D" w:rsidP="0034665D">
      <w:pPr>
        <w:autoSpaceDE w:val="0"/>
        <w:autoSpaceDN w:val="0"/>
        <w:adjustRightInd w:val="0"/>
        <w:spacing w:after="0" w:line="240" w:lineRule="auto"/>
      </w:pPr>
      <w:r w:rsidRPr="0034665D">
        <w:t>Narratives are to be presented alongside the metric score, making it clear that metrics in the</w:t>
      </w:r>
    </w:p>
    <w:p w14:paraId="2BD9207A" w14:textId="77777777" w:rsidR="0034665D" w:rsidRPr="0034665D" w:rsidRDefault="0034665D" w:rsidP="0034665D">
      <w:pPr>
        <w:autoSpaceDE w:val="0"/>
        <w:autoSpaceDN w:val="0"/>
        <w:adjustRightInd w:val="0"/>
        <w:spacing w:after="0" w:line="240" w:lineRule="auto"/>
      </w:pPr>
      <w:r w:rsidRPr="0034665D">
        <w:t>two perspectives of public &amp; community engagement and local growth &amp; regeneration are</w:t>
      </w:r>
    </w:p>
    <w:p w14:paraId="43BFB246" w14:textId="404F11E0" w:rsidR="0034665D" w:rsidRDefault="0034665D" w:rsidP="0034665D">
      <w:pPr>
        <w:autoSpaceDE w:val="0"/>
        <w:autoSpaceDN w:val="0"/>
        <w:adjustRightInd w:val="0"/>
        <w:spacing w:after="0" w:line="240" w:lineRule="auto"/>
      </w:pPr>
      <w:r w:rsidRPr="0034665D">
        <w:t>provisional, and should be read in conjunction with the narratives.</w:t>
      </w:r>
      <w:r w:rsidR="00C229C0">
        <w:t xml:space="preserve"> </w:t>
      </w:r>
      <w:r w:rsidR="00C229C0" w:rsidRPr="00C229C0">
        <w:rPr>
          <w:highlight w:val="yellow"/>
        </w:rPr>
        <w:t>50%</w:t>
      </w:r>
    </w:p>
    <w:p w14:paraId="1D16E73B" w14:textId="77777777" w:rsidR="0034665D" w:rsidRPr="0034665D" w:rsidRDefault="0034665D" w:rsidP="0034665D">
      <w:pPr>
        <w:autoSpaceDE w:val="0"/>
        <w:autoSpaceDN w:val="0"/>
        <w:adjustRightInd w:val="0"/>
        <w:spacing w:after="0" w:line="240" w:lineRule="auto"/>
      </w:pPr>
    </w:p>
    <w:p w14:paraId="2C270BFC" w14:textId="77777777" w:rsidR="0034665D" w:rsidRPr="0034665D" w:rsidRDefault="0034665D" w:rsidP="0034665D">
      <w:pPr>
        <w:autoSpaceDE w:val="0"/>
        <w:autoSpaceDN w:val="0"/>
        <w:adjustRightInd w:val="0"/>
        <w:spacing w:after="0" w:line="240" w:lineRule="auto"/>
      </w:pPr>
      <w:r w:rsidRPr="0034665D">
        <w:t>Visualisation is to be delivered through an interactive, online dashboard which will allow</w:t>
      </w:r>
    </w:p>
    <w:p w14:paraId="7103933E" w14:textId="68F145A1" w:rsidR="0034665D" w:rsidRPr="0034665D" w:rsidRDefault="0034665D" w:rsidP="0034665D">
      <w:pPr>
        <w:autoSpaceDE w:val="0"/>
        <w:autoSpaceDN w:val="0"/>
        <w:adjustRightInd w:val="0"/>
        <w:spacing w:after="0" w:line="240" w:lineRule="auto"/>
      </w:pPr>
      <w:r w:rsidRPr="0034665D">
        <w:t>exploration of the data underlying the ‘headline’ results in various ways.</w:t>
      </w:r>
      <w:r w:rsidR="00C229C0">
        <w:t xml:space="preserve"> </w:t>
      </w:r>
      <w:r w:rsidR="00C229C0">
        <w:rPr>
          <w:highlight w:val="yellow"/>
        </w:rPr>
        <w:t>75</w:t>
      </w:r>
      <w:r w:rsidR="00C229C0" w:rsidRPr="00C229C0">
        <w:rPr>
          <w:highlight w:val="yellow"/>
        </w:rPr>
        <w:t>%</w:t>
      </w:r>
    </w:p>
    <w:p w14:paraId="68BD1DA5" w14:textId="77777777" w:rsidR="0034665D" w:rsidRPr="0034665D" w:rsidRDefault="0034665D" w:rsidP="0034665D">
      <w:pPr>
        <w:autoSpaceDE w:val="0"/>
        <w:autoSpaceDN w:val="0"/>
        <w:adjustRightInd w:val="0"/>
        <w:spacing w:after="0" w:line="240" w:lineRule="auto"/>
        <w:rPr>
          <w:b/>
        </w:rPr>
      </w:pPr>
    </w:p>
    <w:p w14:paraId="3134A36A" w14:textId="1F33F03F" w:rsidR="0034665D" w:rsidRDefault="0034665D" w:rsidP="0034665D">
      <w:pPr>
        <w:autoSpaceDE w:val="0"/>
        <w:autoSpaceDN w:val="0"/>
        <w:adjustRightInd w:val="0"/>
        <w:spacing w:after="0" w:line="240" w:lineRule="auto"/>
        <w:rPr>
          <w:b/>
        </w:rPr>
      </w:pPr>
      <w:r w:rsidRPr="0034665D">
        <w:rPr>
          <w:b/>
        </w:rPr>
        <w:t>Please comment on the presentation and visualisation proposals, for example:</w:t>
      </w:r>
    </w:p>
    <w:p w14:paraId="2694600E" w14:textId="77777777" w:rsidR="00F77FDB" w:rsidRPr="0034665D" w:rsidRDefault="00F77FDB" w:rsidP="0034665D">
      <w:pPr>
        <w:autoSpaceDE w:val="0"/>
        <w:autoSpaceDN w:val="0"/>
        <w:adjustRightInd w:val="0"/>
        <w:spacing w:after="0" w:line="240" w:lineRule="auto"/>
        <w:rPr>
          <w:b/>
        </w:rPr>
      </w:pPr>
    </w:p>
    <w:p w14:paraId="4B6DF6F1" w14:textId="1E070F3E" w:rsidR="0034665D" w:rsidRPr="0034665D" w:rsidRDefault="0034665D" w:rsidP="0034665D">
      <w:pPr>
        <w:pStyle w:val="ListParagraph"/>
        <w:numPr>
          <w:ilvl w:val="0"/>
          <w:numId w:val="12"/>
        </w:numPr>
        <w:autoSpaceDE w:val="0"/>
        <w:autoSpaceDN w:val="0"/>
        <w:adjustRightInd w:val="0"/>
        <w:spacing w:after="0" w:line="240" w:lineRule="auto"/>
        <w:rPr>
          <w:b/>
        </w:rPr>
      </w:pPr>
      <w:r w:rsidRPr="0034665D">
        <w:rPr>
          <w:b/>
        </w:rPr>
        <w:t>where further clarification is required</w:t>
      </w:r>
    </w:p>
    <w:p w14:paraId="54A768CC" w14:textId="60A8AC2D" w:rsidR="0034665D" w:rsidRPr="0034665D" w:rsidRDefault="0034665D" w:rsidP="0034665D">
      <w:pPr>
        <w:pStyle w:val="ListParagraph"/>
        <w:numPr>
          <w:ilvl w:val="0"/>
          <w:numId w:val="12"/>
        </w:numPr>
        <w:autoSpaceDE w:val="0"/>
        <w:autoSpaceDN w:val="0"/>
        <w:adjustRightInd w:val="0"/>
        <w:spacing w:after="0" w:line="240" w:lineRule="auto"/>
        <w:rPr>
          <w:b/>
        </w:rPr>
      </w:pPr>
      <w:r w:rsidRPr="0034665D">
        <w:rPr>
          <w:b/>
        </w:rPr>
        <w:t>where refinements could be made</w:t>
      </w:r>
    </w:p>
    <w:p w14:paraId="356C2D81" w14:textId="20352582" w:rsidR="0034665D" w:rsidRPr="0034665D" w:rsidRDefault="0034665D" w:rsidP="0034665D">
      <w:pPr>
        <w:pStyle w:val="ListParagraph"/>
        <w:numPr>
          <w:ilvl w:val="0"/>
          <w:numId w:val="12"/>
        </w:numPr>
        <w:autoSpaceDE w:val="0"/>
        <w:autoSpaceDN w:val="0"/>
        <w:adjustRightInd w:val="0"/>
        <w:spacing w:after="0" w:line="240" w:lineRule="auto"/>
        <w:rPr>
          <w:b/>
        </w:rPr>
      </w:pPr>
      <w:r w:rsidRPr="0034665D">
        <w:rPr>
          <w:b/>
        </w:rPr>
        <w:t>whether there are areas where more consistency across HEIs could be achieved- how</w:t>
      </w:r>
    </w:p>
    <w:p w14:paraId="07C97EAE" w14:textId="33B47822" w:rsidR="0065579A" w:rsidRPr="0034665D" w:rsidRDefault="0034665D" w:rsidP="0034665D">
      <w:pPr>
        <w:pStyle w:val="ListParagraph"/>
        <w:numPr>
          <w:ilvl w:val="0"/>
          <w:numId w:val="12"/>
        </w:numPr>
        <w:autoSpaceDE w:val="0"/>
        <w:autoSpaceDN w:val="0"/>
        <w:adjustRightInd w:val="0"/>
        <w:spacing w:after="0" w:line="240" w:lineRule="auto"/>
        <w:rPr>
          <w:b/>
        </w:rPr>
      </w:pPr>
      <w:r w:rsidRPr="0034665D">
        <w:rPr>
          <w:b/>
        </w:rPr>
        <w:t>narratives could be incorporated? (400-word limit)</w:t>
      </w:r>
    </w:p>
    <w:p w14:paraId="3AAD2146" w14:textId="1EE23E9E" w:rsidR="0034665D" w:rsidRPr="0034665D" w:rsidRDefault="0034665D" w:rsidP="0065579A">
      <w:pPr>
        <w:pStyle w:val="ListParagraph"/>
        <w:ind w:left="360"/>
        <w:rPr>
          <w:b/>
        </w:rPr>
      </w:pPr>
    </w:p>
    <w:p w14:paraId="2A1E6635" w14:textId="4CF9895D" w:rsidR="005B7190" w:rsidRDefault="009274F5" w:rsidP="005B7190">
      <w:pPr>
        <w:pStyle w:val="ListParagraph"/>
        <w:ind w:left="360"/>
      </w:pPr>
      <w:r w:rsidRPr="009274F5">
        <w:rPr>
          <w:highlight w:val="yellow"/>
        </w:rPr>
        <w:t xml:space="preserve">The presentation is focusing on the metrics, and the College believes that the metrics are only useful </w:t>
      </w:r>
      <w:r>
        <w:rPr>
          <w:highlight w:val="yellow"/>
        </w:rPr>
        <w:t xml:space="preserve">and </w:t>
      </w:r>
      <w:r w:rsidRPr="009274F5">
        <w:rPr>
          <w:highlight w:val="yellow"/>
        </w:rPr>
        <w:t>interesting once they are put into context by narratives. The metrics used in the KEF will inevitably be used by other agencies to rank</w:t>
      </w:r>
      <w:r>
        <w:rPr>
          <w:highlight w:val="yellow"/>
        </w:rPr>
        <w:t xml:space="preserve"> institutions. However,</w:t>
      </w:r>
      <w:r w:rsidRPr="009274F5">
        <w:rPr>
          <w:highlight w:val="yellow"/>
        </w:rPr>
        <w:t xml:space="preserve"> it has been explicitly stated by Research England that this is not the intended use of the KEF.</w:t>
      </w:r>
    </w:p>
    <w:p w14:paraId="1C179778" w14:textId="501AA066" w:rsidR="008A0F6D" w:rsidRDefault="008A0F6D" w:rsidP="005B7190">
      <w:pPr>
        <w:pStyle w:val="ListParagraph"/>
        <w:ind w:left="360"/>
      </w:pPr>
    </w:p>
    <w:p w14:paraId="28883FAC" w14:textId="5A2243E1" w:rsidR="008A0F6D" w:rsidRPr="00825A20" w:rsidRDefault="008A0F6D" w:rsidP="005B7190">
      <w:pPr>
        <w:pStyle w:val="ListParagraph"/>
        <w:ind w:left="360"/>
      </w:pPr>
      <w:r w:rsidRPr="008A0F6D">
        <w:rPr>
          <w:highlight w:val="yellow"/>
        </w:rPr>
        <w:t xml:space="preserve">The raw data should be very clear within the visualisations. </w:t>
      </w:r>
      <w:r>
        <w:rPr>
          <w:highlight w:val="yellow"/>
        </w:rPr>
        <w:t xml:space="preserve">Many of the metrics are subject to normalisation in </w:t>
      </w:r>
      <w:r w:rsidRPr="00F85080">
        <w:rPr>
          <w:highlight w:val="yellow"/>
        </w:rPr>
        <w:t xml:space="preserve">different ways. An example of this is </w:t>
      </w:r>
      <w:r w:rsidR="00F85080">
        <w:rPr>
          <w:highlight w:val="yellow"/>
        </w:rPr>
        <w:t xml:space="preserve">the </w:t>
      </w:r>
      <w:r w:rsidRPr="00F85080">
        <w:rPr>
          <w:highlight w:val="yellow"/>
        </w:rPr>
        <w:t>‘Research resource (income) per spin-out (HEBCI table 4)’</w:t>
      </w:r>
      <w:r w:rsidR="00F85080">
        <w:rPr>
          <w:highlight w:val="yellow"/>
        </w:rPr>
        <w:t xml:space="preserve"> metric</w:t>
      </w:r>
      <w:r w:rsidRPr="00F85080">
        <w:rPr>
          <w:highlight w:val="yellow"/>
        </w:rPr>
        <w:t xml:space="preserve">. This metric measures how much RGC </w:t>
      </w:r>
      <w:r w:rsidR="00F85080">
        <w:rPr>
          <w:highlight w:val="yellow"/>
        </w:rPr>
        <w:t xml:space="preserve">income </w:t>
      </w:r>
      <w:r w:rsidRPr="00F85080">
        <w:rPr>
          <w:highlight w:val="yellow"/>
        </w:rPr>
        <w:t>from industry the College receives in relation to how many spin-outs are formed. A figure of £5m RGC industry</w:t>
      </w:r>
      <w:r w:rsidR="00F85080">
        <w:rPr>
          <w:highlight w:val="yellow"/>
        </w:rPr>
        <w:t xml:space="preserve"> income</w:t>
      </w:r>
      <w:r w:rsidRPr="00F85080">
        <w:rPr>
          <w:highlight w:val="yellow"/>
        </w:rPr>
        <w:t xml:space="preserve"> per spinout could be interpreted as the College receiving £5m RGC income from industry per year and producing only one spin-out, whereas in the College’s case it receives ~£50m RGC from indu</w:t>
      </w:r>
      <w:r w:rsidR="00F85080" w:rsidRPr="00F85080">
        <w:rPr>
          <w:highlight w:val="yellow"/>
        </w:rPr>
        <w:t>stry per year and produces ~10 spin-outs</w:t>
      </w:r>
      <w:r w:rsidRPr="00F85080">
        <w:rPr>
          <w:highlight w:val="yellow"/>
        </w:rPr>
        <w:t xml:space="preserve">. Currently this data is available to view, however only when you drill into the </w:t>
      </w:r>
      <w:r w:rsidR="00F85080">
        <w:rPr>
          <w:highlight w:val="yellow"/>
        </w:rPr>
        <w:t>data and hover over the figures, and the general viewer may not look at the visualisations at this level of detail.</w:t>
      </w:r>
    </w:p>
    <w:p w14:paraId="09CC91B4" w14:textId="77777777" w:rsidR="006C47CF" w:rsidRDefault="0065579A" w:rsidP="00B95D4C">
      <w:pPr>
        <w:autoSpaceDE w:val="0"/>
        <w:autoSpaceDN w:val="0"/>
        <w:adjustRightInd w:val="0"/>
        <w:spacing w:after="0" w:line="240" w:lineRule="auto"/>
        <w:rPr>
          <w:b/>
        </w:rPr>
      </w:pPr>
      <w:r>
        <w:rPr>
          <w:b/>
        </w:rPr>
        <w:t>10</w:t>
      </w:r>
      <w:r w:rsidRPr="00507CA4">
        <w:rPr>
          <w:b/>
        </w:rPr>
        <w:t xml:space="preserve">. </w:t>
      </w:r>
      <w:r w:rsidR="00B95D4C" w:rsidRPr="00B95D4C">
        <w:rPr>
          <w:b/>
        </w:rPr>
        <w:t>Implementation</w:t>
      </w:r>
    </w:p>
    <w:p w14:paraId="41D361F4" w14:textId="77777777" w:rsidR="006C47CF" w:rsidRDefault="006C47CF" w:rsidP="00B95D4C">
      <w:pPr>
        <w:autoSpaceDE w:val="0"/>
        <w:autoSpaceDN w:val="0"/>
        <w:adjustRightInd w:val="0"/>
        <w:spacing w:after="0" w:line="240" w:lineRule="auto"/>
        <w:rPr>
          <w:b/>
        </w:rPr>
      </w:pPr>
    </w:p>
    <w:p w14:paraId="1B50E84F" w14:textId="07FE4CC2" w:rsidR="0065579A" w:rsidRPr="00B95D4C" w:rsidRDefault="00B95D4C" w:rsidP="00B95D4C">
      <w:pPr>
        <w:autoSpaceDE w:val="0"/>
        <w:autoSpaceDN w:val="0"/>
        <w:adjustRightInd w:val="0"/>
        <w:spacing w:after="0" w:line="240" w:lineRule="auto"/>
        <w:rPr>
          <w:b/>
        </w:rPr>
      </w:pPr>
      <w:r w:rsidRPr="00B95D4C">
        <w:rPr>
          <w:b/>
        </w:rPr>
        <w:t>We will pilot the implementation with a group of HEIs as described in the consultation document. Please provide any comments about the implementation of the KEF. (200-word limit).</w:t>
      </w:r>
    </w:p>
    <w:p w14:paraId="47640EE2" w14:textId="77777777" w:rsidR="00B95D4C" w:rsidRPr="00B95D4C" w:rsidRDefault="00B95D4C" w:rsidP="00B95D4C">
      <w:pPr>
        <w:autoSpaceDE w:val="0"/>
        <w:autoSpaceDN w:val="0"/>
        <w:adjustRightInd w:val="0"/>
        <w:spacing w:after="0" w:line="240" w:lineRule="auto"/>
        <w:rPr>
          <w:b/>
        </w:rPr>
      </w:pPr>
    </w:p>
    <w:p w14:paraId="21753FD4" w14:textId="5AAD57C5" w:rsidR="005B7190" w:rsidRPr="00825A20" w:rsidRDefault="009274F5" w:rsidP="005B7190">
      <w:pPr>
        <w:pStyle w:val="ListParagraph"/>
        <w:ind w:left="360"/>
      </w:pPr>
      <w:r w:rsidRPr="005827A0">
        <w:rPr>
          <w:highlight w:val="yellow"/>
        </w:rPr>
        <w:t xml:space="preserve">The College believes that </w:t>
      </w:r>
      <w:r w:rsidR="005827A0" w:rsidRPr="005827A0">
        <w:rPr>
          <w:highlight w:val="yellow"/>
        </w:rPr>
        <w:t>it is essential to test the KEF and any potential metrics thoroughly before a full-scale implementation, via a pilot exercise, with further expansion dependent on evaluation of the pilot.</w:t>
      </w:r>
    </w:p>
    <w:p w14:paraId="02D072E8" w14:textId="77777777" w:rsidR="006C47CF" w:rsidRDefault="0065579A" w:rsidP="0065579A">
      <w:pPr>
        <w:rPr>
          <w:b/>
        </w:rPr>
      </w:pPr>
      <w:r>
        <w:rPr>
          <w:b/>
        </w:rPr>
        <w:t>11</w:t>
      </w:r>
      <w:r w:rsidRPr="00507CA4">
        <w:rPr>
          <w:b/>
        </w:rPr>
        <w:t xml:space="preserve">. </w:t>
      </w:r>
      <w:r w:rsidR="00B95D4C">
        <w:rPr>
          <w:b/>
        </w:rPr>
        <w:t xml:space="preserve">Any other </w:t>
      </w:r>
      <w:r w:rsidR="00B95D4C" w:rsidRPr="00B95D4C">
        <w:rPr>
          <w:b/>
        </w:rPr>
        <w:t>comments</w:t>
      </w:r>
    </w:p>
    <w:p w14:paraId="60A35359" w14:textId="6FF0C55D" w:rsidR="0065579A" w:rsidRPr="00B95D4C" w:rsidRDefault="00B95D4C" w:rsidP="0065579A">
      <w:pPr>
        <w:rPr>
          <w:b/>
        </w:rPr>
      </w:pPr>
      <w:r w:rsidRPr="00B95D4C">
        <w:rPr>
          <w:b/>
        </w:rPr>
        <w:t>If you have any other comments, please share them here. (400-word limit).</w:t>
      </w:r>
    </w:p>
    <w:p w14:paraId="35B9516B" w14:textId="33BE29F6" w:rsidR="005B7190" w:rsidRPr="00825A20" w:rsidRDefault="00A22536" w:rsidP="005B7190">
      <w:pPr>
        <w:pStyle w:val="ListParagraph"/>
        <w:ind w:left="360"/>
      </w:pPr>
      <w:r w:rsidRPr="00EF5041">
        <w:rPr>
          <w:highlight w:val="yellow"/>
        </w:rPr>
        <w:t>No comment.</w:t>
      </w:r>
    </w:p>
    <w:p w14:paraId="00AA49E7" w14:textId="77777777" w:rsidR="0065579A" w:rsidRDefault="0065579A" w:rsidP="004051E7">
      <w:pPr>
        <w:pStyle w:val="ListParagraph"/>
        <w:ind w:left="360"/>
      </w:pPr>
    </w:p>
    <w:p w14:paraId="322F5B40" w14:textId="0A2917A2" w:rsidR="00FC0F7E" w:rsidRDefault="00FC0F7E" w:rsidP="00942C5D"/>
    <w:sectPr w:rsidR="00FC0F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1BF04C" w14:textId="77777777" w:rsidR="001F0E2B" w:rsidRDefault="001F0E2B" w:rsidP="00B25035">
      <w:pPr>
        <w:spacing w:after="0" w:line="240" w:lineRule="auto"/>
      </w:pPr>
      <w:r>
        <w:separator/>
      </w:r>
    </w:p>
  </w:endnote>
  <w:endnote w:type="continuationSeparator" w:id="0">
    <w:p w14:paraId="6B0B729A" w14:textId="77777777" w:rsidR="001F0E2B" w:rsidRDefault="001F0E2B" w:rsidP="00B25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etaOT-Bold">
    <w:altName w:val="MetaOT-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06E37" w14:textId="77777777" w:rsidR="001F0E2B" w:rsidRDefault="001F0E2B" w:rsidP="00B25035">
      <w:pPr>
        <w:spacing w:after="0" w:line="240" w:lineRule="auto"/>
      </w:pPr>
      <w:r>
        <w:separator/>
      </w:r>
    </w:p>
  </w:footnote>
  <w:footnote w:type="continuationSeparator" w:id="0">
    <w:p w14:paraId="22164339" w14:textId="77777777" w:rsidR="001F0E2B" w:rsidRDefault="001F0E2B" w:rsidP="00B25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4F"/>
    <w:multiLevelType w:val="hybridMultilevel"/>
    <w:tmpl w:val="3612C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6AE5"/>
    <w:multiLevelType w:val="hybridMultilevel"/>
    <w:tmpl w:val="36F0F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45DD2"/>
    <w:multiLevelType w:val="hybridMultilevel"/>
    <w:tmpl w:val="0F8CB6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8E3933"/>
    <w:multiLevelType w:val="hybridMultilevel"/>
    <w:tmpl w:val="3FA87F44"/>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FF25020"/>
    <w:multiLevelType w:val="hybridMultilevel"/>
    <w:tmpl w:val="381841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7177AB"/>
    <w:multiLevelType w:val="hybridMultilevel"/>
    <w:tmpl w:val="7682F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8B7A58"/>
    <w:multiLevelType w:val="hybridMultilevel"/>
    <w:tmpl w:val="C7A8E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E7605D"/>
    <w:multiLevelType w:val="hybridMultilevel"/>
    <w:tmpl w:val="24E493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93A1B2A"/>
    <w:multiLevelType w:val="hybridMultilevel"/>
    <w:tmpl w:val="EE608886"/>
    <w:lvl w:ilvl="0" w:tplc="E986449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AB744F3"/>
    <w:multiLevelType w:val="hybridMultilevel"/>
    <w:tmpl w:val="E4C4E4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D4825AF"/>
    <w:multiLevelType w:val="hybridMultilevel"/>
    <w:tmpl w:val="EE50F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6C688F"/>
    <w:multiLevelType w:val="hybridMultilevel"/>
    <w:tmpl w:val="F21833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18A00EE"/>
    <w:multiLevelType w:val="hybridMultilevel"/>
    <w:tmpl w:val="B32637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3AE2A0A"/>
    <w:multiLevelType w:val="hybridMultilevel"/>
    <w:tmpl w:val="D9A8B5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9075F64"/>
    <w:multiLevelType w:val="hybridMultilevel"/>
    <w:tmpl w:val="959AB5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F912DC"/>
    <w:multiLevelType w:val="hybridMultilevel"/>
    <w:tmpl w:val="721893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61535D1"/>
    <w:multiLevelType w:val="hybridMultilevel"/>
    <w:tmpl w:val="B254E95E"/>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4F31241"/>
    <w:multiLevelType w:val="hybridMultilevel"/>
    <w:tmpl w:val="F822D3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EF57C4D"/>
    <w:multiLevelType w:val="hybridMultilevel"/>
    <w:tmpl w:val="E6C23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FBE2CA3"/>
    <w:multiLevelType w:val="hybridMultilevel"/>
    <w:tmpl w:val="479A3E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1D252A5"/>
    <w:multiLevelType w:val="hybridMultilevel"/>
    <w:tmpl w:val="88000DBA"/>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D1138DD"/>
    <w:multiLevelType w:val="hybridMultilevel"/>
    <w:tmpl w:val="583C48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19"/>
  </w:num>
  <w:num w:numId="4">
    <w:abstractNumId w:val="6"/>
  </w:num>
  <w:num w:numId="5">
    <w:abstractNumId w:val="14"/>
  </w:num>
  <w:num w:numId="6">
    <w:abstractNumId w:val="17"/>
  </w:num>
  <w:num w:numId="7">
    <w:abstractNumId w:val="8"/>
  </w:num>
  <w:num w:numId="8">
    <w:abstractNumId w:val="3"/>
  </w:num>
  <w:num w:numId="9">
    <w:abstractNumId w:val="10"/>
  </w:num>
  <w:num w:numId="10">
    <w:abstractNumId w:val="4"/>
  </w:num>
  <w:num w:numId="11">
    <w:abstractNumId w:val="0"/>
  </w:num>
  <w:num w:numId="12">
    <w:abstractNumId w:val="5"/>
  </w:num>
  <w:num w:numId="13">
    <w:abstractNumId w:val="1"/>
  </w:num>
  <w:num w:numId="14">
    <w:abstractNumId w:val="13"/>
  </w:num>
  <w:num w:numId="15">
    <w:abstractNumId w:val="7"/>
  </w:num>
  <w:num w:numId="16">
    <w:abstractNumId w:val="9"/>
  </w:num>
  <w:num w:numId="17">
    <w:abstractNumId w:val="15"/>
  </w:num>
  <w:num w:numId="18">
    <w:abstractNumId w:val="2"/>
  </w:num>
  <w:num w:numId="19">
    <w:abstractNumId w:val="21"/>
  </w:num>
  <w:num w:numId="20">
    <w:abstractNumId w:val="11"/>
  </w:num>
  <w:num w:numId="21">
    <w:abstractNumId w:val="2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0A3"/>
    <w:rsid w:val="00001E31"/>
    <w:rsid w:val="00004FF8"/>
    <w:rsid w:val="00023799"/>
    <w:rsid w:val="00026BA9"/>
    <w:rsid w:val="00030443"/>
    <w:rsid w:val="00046C7B"/>
    <w:rsid w:val="00064317"/>
    <w:rsid w:val="00072AEC"/>
    <w:rsid w:val="00087050"/>
    <w:rsid w:val="000A559B"/>
    <w:rsid w:val="000C123D"/>
    <w:rsid w:val="000E0406"/>
    <w:rsid w:val="00117146"/>
    <w:rsid w:val="0012622B"/>
    <w:rsid w:val="001915BB"/>
    <w:rsid w:val="001A0935"/>
    <w:rsid w:val="001A36C9"/>
    <w:rsid w:val="001B6AE2"/>
    <w:rsid w:val="001D07F2"/>
    <w:rsid w:val="001D1D1B"/>
    <w:rsid w:val="001D6136"/>
    <w:rsid w:val="001E510D"/>
    <w:rsid w:val="001F0E2B"/>
    <w:rsid w:val="002026E0"/>
    <w:rsid w:val="00204A8F"/>
    <w:rsid w:val="0021018F"/>
    <w:rsid w:val="002157E2"/>
    <w:rsid w:val="00216E8A"/>
    <w:rsid w:val="00223F25"/>
    <w:rsid w:val="00247CD6"/>
    <w:rsid w:val="00253931"/>
    <w:rsid w:val="00262B36"/>
    <w:rsid w:val="0026469A"/>
    <w:rsid w:val="00277199"/>
    <w:rsid w:val="002966F3"/>
    <w:rsid w:val="002C2E3A"/>
    <w:rsid w:val="002C3BA9"/>
    <w:rsid w:val="002C419F"/>
    <w:rsid w:val="002C6993"/>
    <w:rsid w:val="002D32AE"/>
    <w:rsid w:val="002E50BF"/>
    <w:rsid w:val="002F3F93"/>
    <w:rsid w:val="002F484C"/>
    <w:rsid w:val="00305E06"/>
    <w:rsid w:val="00306438"/>
    <w:rsid w:val="003108D5"/>
    <w:rsid w:val="00322409"/>
    <w:rsid w:val="00326A43"/>
    <w:rsid w:val="0033361F"/>
    <w:rsid w:val="0034665D"/>
    <w:rsid w:val="003550A3"/>
    <w:rsid w:val="003774DA"/>
    <w:rsid w:val="003A2A21"/>
    <w:rsid w:val="003A2FD4"/>
    <w:rsid w:val="003B3245"/>
    <w:rsid w:val="003C4EBD"/>
    <w:rsid w:val="003F021D"/>
    <w:rsid w:val="004051E7"/>
    <w:rsid w:val="00452CAD"/>
    <w:rsid w:val="004771B1"/>
    <w:rsid w:val="00483857"/>
    <w:rsid w:val="0049276C"/>
    <w:rsid w:val="004A1411"/>
    <w:rsid w:val="004A4ABF"/>
    <w:rsid w:val="004B3590"/>
    <w:rsid w:val="004B689B"/>
    <w:rsid w:val="004C0097"/>
    <w:rsid w:val="004C1F5B"/>
    <w:rsid w:val="004C38E2"/>
    <w:rsid w:val="004C5B70"/>
    <w:rsid w:val="004D013D"/>
    <w:rsid w:val="004E1590"/>
    <w:rsid w:val="004E239F"/>
    <w:rsid w:val="004E5AF2"/>
    <w:rsid w:val="005062D6"/>
    <w:rsid w:val="00507CA4"/>
    <w:rsid w:val="00517FD8"/>
    <w:rsid w:val="00567AC1"/>
    <w:rsid w:val="00575553"/>
    <w:rsid w:val="005827A0"/>
    <w:rsid w:val="0059366E"/>
    <w:rsid w:val="005A3FFC"/>
    <w:rsid w:val="005B3F5B"/>
    <w:rsid w:val="005B7190"/>
    <w:rsid w:val="005C7125"/>
    <w:rsid w:val="005F21BC"/>
    <w:rsid w:val="005F4CA4"/>
    <w:rsid w:val="005F5C05"/>
    <w:rsid w:val="006151BF"/>
    <w:rsid w:val="00623AFD"/>
    <w:rsid w:val="00624033"/>
    <w:rsid w:val="00624238"/>
    <w:rsid w:val="00626911"/>
    <w:rsid w:val="00634F39"/>
    <w:rsid w:val="0065579A"/>
    <w:rsid w:val="00662B9A"/>
    <w:rsid w:val="00662C84"/>
    <w:rsid w:val="00687F82"/>
    <w:rsid w:val="00695466"/>
    <w:rsid w:val="006C47CF"/>
    <w:rsid w:val="006D2800"/>
    <w:rsid w:val="006D2F86"/>
    <w:rsid w:val="006D4138"/>
    <w:rsid w:val="006E6A36"/>
    <w:rsid w:val="007062D5"/>
    <w:rsid w:val="00713D75"/>
    <w:rsid w:val="00713EAA"/>
    <w:rsid w:val="0072557A"/>
    <w:rsid w:val="00727461"/>
    <w:rsid w:val="0073170A"/>
    <w:rsid w:val="007435D8"/>
    <w:rsid w:val="007A7232"/>
    <w:rsid w:val="007C5B28"/>
    <w:rsid w:val="007D4FF2"/>
    <w:rsid w:val="007D6E3E"/>
    <w:rsid w:val="007E030C"/>
    <w:rsid w:val="007E05AF"/>
    <w:rsid w:val="00801C37"/>
    <w:rsid w:val="00823A18"/>
    <w:rsid w:val="00824175"/>
    <w:rsid w:val="00825A20"/>
    <w:rsid w:val="00825D6D"/>
    <w:rsid w:val="008570B0"/>
    <w:rsid w:val="00866B15"/>
    <w:rsid w:val="00890A4B"/>
    <w:rsid w:val="0089233F"/>
    <w:rsid w:val="00892B66"/>
    <w:rsid w:val="00895911"/>
    <w:rsid w:val="008A0F6D"/>
    <w:rsid w:val="008A4067"/>
    <w:rsid w:val="008B3650"/>
    <w:rsid w:val="008B769A"/>
    <w:rsid w:val="008F4526"/>
    <w:rsid w:val="00921A57"/>
    <w:rsid w:val="009274F5"/>
    <w:rsid w:val="00935462"/>
    <w:rsid w:val="00942C5D"/>
    <w:rsid w:val="00957E35"/>
    <w:rsid w:val="009633E5"/>
    <w:rsid w:val="0097193A"/>
    <w:rsid w:val="009838ED"/>
    <w:rsid w:val="009A6887"/>
    <w:rsid w:val="009B5E28"/>
    <w:rsid w:val="00A22536"/>
    <w:rsid w:val="00A23A84"/>
    <w:rsid w:val="00A622A3"/>
    <w:rsid w:val="00A71BFD"/>
    <w:rsid w:val="00A74E98"/>
    <w:rsid w:val="00A962D9"/>
    <w:rsid w:val="00AA1B18"/>
    <w:rsid w:val="00AA7ED1"/>
    <w:rsid w:val="00AB03F7"/>
    <w:rsid w:val="00AC7CBD"/>
    <w:rsid w:val="00AE2E85"/>
    <w:rsid w:val="00AF44CC"/>
    <w:rsid w:val="00AF45C5"/>
    <w:rsid w:val="00B208E1"/>
    <w:rsid w:val="00B220FA"/>
    <w:rsid w:val="00B236B7"/>
    <w:rsid w:val="00B24D77"/>
    <w:rsid w:val="00B25035"/>
    <w:rsid w:val="00B273D3"/>
    <w:rsid w:val="00B37944"/>
    <w:rsid w:val="00B37C24"/>
    <w:rsid w:val="00B41F13"/>
    <w:rsid w:val="00B63526"/>
    <w:rsid w:val="00B640BD"/>
    <w:rsid w:val="00B6632C"/>
    <w:rsid w:val="00B757C7"/>
    <w:rsid w:val="00B7659B"/>
    <w:rsid w:val="00B81626"/>
    <w:rsid w:val="00B83136"/>
    <w:rsid w:val="00B95D4C"/>
    <w:rsid w:val="00BA2C47"/>
    <w:rsid w:val="00BA62AC"/>
    <w:rsid w:val="00BB4999"/>
    <w:rsid w:val="00BB574F"/>
    <w:rsid w:val="00BB6E61"/>
    <w:rsid w:val="00BE2C00"/>
    <w:rsid w:val="00BF6AA5"/>
    <w:rsid w:val="00C229C0"/>
    <w:rsid w:val="00C455B0"/>
    <w:rsid w:val="00C77766"/>
    <w:rsid w:val="00C81918"/>
    <w:rsid w:val="00CC31CC"/>
    <w:rsid w:val="00CD28B2"/>
    <w:rsid w:val="00CD6A60"/>
    <w:rsid w:val="00CD7880"/>
    <w:rsid w:val="00CE6239"/>
    <w:rsid w:val="00CF33F2"/>
    <w:rsid w:val="00D04295"/>
    <w:rsid w:val="00D30752"/>
    <w:rsid w:val="00D439B1"/>
    <w:rsid w:val="00D43F15"/>
    <w:rsid w:val="00D45628"/>
    <w:rsid w:val="00D5649F"/>
    <w:rsid w:val="00D847A3"/>
    <w:rsid w:val="00D858C8"/>
    <w:rsid w:val="00DA162F"/>
    <w:rsid w:val="00DA3D7D"/>
    <w:rsid w:val="00DC1E48"/>
    <w:rsid w:val="00DE001B"/>
    <w:rsid w:val="00DE2ABD"/>
    <w:rsid w:val="00DF7EE5"/>
    <w:rsid w:val="00E03E53"/>
    <w:rsid w:val="00E05B48"/>
    <w:rsid w:val="00E076B0"/>
    <w:rsid w:val="00E21307"/>
    <w:rsid w:val="00E503DC"/>
    <w:rsid w:val="00E56432"/>
    <w:rsid w:val="00E56C36"/>
    <w:rsid w:val="00E74DC0"/>
    <w:rsid w:val="00EA52BD"/>
    <w:rsid w:val="00ED17BF"/>
    <w:rsid w:val="00EE0573"/>
    <w:rsid w:val="00EE1ACB"/>
    <w:rsid w:val="00EE34F7"/>
    <w:rsid w:val="00EF5041"/>
    <w:rsid w:val="00EF6335"/>
    <w:rsid w:val="00EF7EA7"/>
    <w:rsid w:val="00F368D0"/>
    <w:rsid w:val="00F37C2C"/>
    <w:rsid w:val="00F40ED6"/>
    <w:rsid w:val="00F60413"/>
    <w:rsid w:val="00F67DBB"/>
    <w:rsid w:val="00F70022"/>
    <w:rsid w:val="00F77152"/>
    <w:rsid w:val="00F77FDB"/>
    <w:rsid w:val="00F85080"/>
    <w:rsid w:val="00F910B6"/>
    <w:rsid w:val="00FA0D4F"/>
    <w:rsid w:val="00FA29B3"/>
    <w:rsid w:val="00FB1874"/>
    <w:rsid w:val="00FB558A"/>
    <w:rsid w:val="00FC0F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3E83"/>
  <w15:docId w15:val="{C4D64FA9-BE84-4D8F-A9FA-051AA882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526"/>
    <w:pPr>
      <w:ind w:left="720"/>
      <w:contextualSpacing/>
    </w:pPr>
  </w:style>
  <w:style w:type="paragraph" w:styleId="BalloonText">
    <w:name w:val="Balloon Text"/>
    <w:basedOn w:val="Normal"/>
    <w:link w:val="BalloonTextChar"/>
    <w:uiPriority w:val="99"/>
    <w:semiHidden/>
    <w:unhideWhenUsed/>
    <w:rsid w:val="0069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466"/>
    <w:rPr>
      <w:rFonts w:ascii="Tahoma" w:hAnsi="Tahoma" w:cs="Tahoma"/>
      <w:sz w:val="16"/>
      <w:szCs w:val="16"/>
    </w:rPr>
  </w:style>
  <w:style w:type="character" w:styleId="CommentReference">
    <w:name w:val="annotation reference"/>
    <w:basedOn w:val="DefaultParagraphFont"/>
    <w:uiPriority w:val="99"/>
    <w:semiHidden/>
    <w:unhideWhenUsed/>
    <w:rsid w:val="006D2800"/>
    <w:rPr>
      <w:sz w:val="16"/>
      <w:szCs w:val="16"/>
    </w:rPr>
  </w:style>
  <w:style w:type="paragraph" w:styleId="CommentText">
    <w:name w:val="annotation text"/>
    <w:basedOn w:val="Normal"/>
    <w:link w:val="CommentTextChar"/>
    <w:uiPriority w:val="99"/>
    <w:semiHidden/>
    <w:unhideWhenUsed/>
    <w:rsid w:val="006D2800"/>
    <w:pPr>
      <w:spacing w:line="240" w:lineRule="auto"/>
    </w:pPr>
    <w:rPr>
      <w:sz w:val="20"/>
      <w:szCs w:val="20"/>
    </w:rPr>
  </w:style>
  <w:style w:type="character" w:customStyle="1" w:styleId="CommentTextChar">
    <w:name w:val="Comment Text Char"/>
    <w:basedOn w:val="DefaultParagraphFont"/>
    <w:link w:val="CommentText"/>
    <w:uiPriority w:val="99"/>
    <w:semiHidden/>
    <w:rsid w:val="006D2800"/>
    <w:rPr>
      <w:sz w:val="20"/>
      <w:szCs w:val="20"/>
    </w:rPr>
  </w:style>
  <w:style w:type="paragraph" w:styleId="CommentSubject">
    <w:name w:val="annotation subject"/>
    <w:basedOn w:val="CommentText"/>
    <w:next w:val="CommentText"/>
    <w:link w:val="CommentSubjectChar"/>
    <w:uiPriority w:val="99"/>
    <w:semiHidden/>
    <w:unhideWhenUsed/>
    <w:rsid w:val="006D2800"/>
    <w:rPr>
      <w:b/>
      <w:bCs/>
    </w:rPr>
  </w:style>
  <w:style w:type="character" w:customStyle="1" w:styleId="CommentSubjectChar">
    <w:name w:val="Comment Subject Char"/>
    <w:basedOn w:val="CommentTextChar"/>
    <w:link w:val="CommentSubject"/>
    <w:uiPriority w:val="99"/>
    <w:semiHidden/>
    <w:rsid w:val="006D2800"/>
    <w:rPr>
      <w:b/>
      <w:bCs/>
      <w:sz w:val="20"/>
      <w:szCs w:val="20"/>
    </w:rPr>
  </w:style>
  <w:style w:type="paragraph" w:customStyle="1" w:styleId="Pa13">
    <w:name w:val="Pa13"/>
    <w:basedOn w:val="Normal"/>
    <w:next w:val="Normal"/>
    <w:uiPriority w:val="99"/>
    <w:rsid w:val="004A1411"/>
    <w:pPr>
      <w:autoSpaceDE w:val="0"/>
      <w:autoSpaceDN w:val="0"/>
      <w:adjustRightInd w:val="0"/>
      <w:spacing w:after="0" w:line="241" w:lineRule="atLeast"/>
    </w:pPr>
    <w:rPr>
      <w:rFonts w:ascii="MetaOT-Bold" w:hAnsi="MetaOT-Bold"/>
      <w:sz w:val="24"/>
      <w:szCs w:val="24"/>
    </w:rPr>
  </w:style>
  <w:style w:type="character" w:customStyle="1" w:styleId="A4">
    <w:name w:val="A4"/>
    <w:uiPriority w:val="99"/>
    <w:rsid w:val="004A1411"/>
    <w:rPr>
      <w:rFonts w:cs="MetaOT-Bold"/>
      <w:color w:val="ED164E"/>
      <w:sz w:val="17"/>
      <w:szCs w:val="17"/>
    </w:rPr>
  </w:style>
  <w:style w:type="paragraph" w:customStyle="1" w:styleId="Pa7">
    <w:name w:val="Pa7"/>
    <w:basedOn w:val="Normal"/>
    <w:next w:val="Normal"/>
    <w:uiPriority w:val="99"/>
    <w:rsid w:val="004A1411"/>
    <w:pPr>
      <w:autoSpaceDE w:val="0"/>
      <w:autoSpaceDN w:val="0"/>
      <w:adjustRightInd w:val="0"/>
      <w:spacing w:after="0" w:line="241" w:lineRule="atLeast"/>
    </w:pPr>
    <w:rPr>
      <w:rFonts w:ascii="MetaOT-Bold" w:hAnsi="MetaOT-Bold"/>
      <w:sz w:val="24"/>
      <w:szCs w:val="24"/>
    </w:rPr>
  </w:style>
  <w:style w:type="character" w:styleId="Hyperlink">
    <w:name w:val="Hyperlink"/>
    <w:basedOn w:val="DefaultParagraphFont"/>
    <w:uiPriority w:val="99"/>
    <w:unhideWhenUsed/>
    <w:rsid w:val="00957E35"/>
    <w:rPr>
      <w:color w:val="0563C1" w:themeColor="hyperlink"/>
      <w:u w:val="single"/>
    </w:rPr>
  </w:style>
  <w:style w:type="paragraph" w:styleId="Header">
    <w:name w:val="header"/>
    <w:basedOn w:val="Normal"/>
    <w:link w:val="HeaderChar"/>
    <w:uiPriority w:val="99"/>
    <w:unhideWhenUsed/>
    <w:rsid w:val="00B250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5035"/>
  </w:style>
  <w:style w:type="paragraph" w:styleId="Footer">
    <w:name w:val="footer"/>
    <w:basedOn w:val="Normal"/>
    <w:link w:val="FooterChar"/>
    <w:uiPriority w:val="99"/>
    <w:unhideWhenUsed/>
    <w:rsid w:val="00B250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5035"/>
  </w:style>
  <w:style w:type="table" w:styleId="TableGrid">
    <w:name w:val="Table Grid"/>
    <w:basedOn w:val="TableNormal"/>
    <w:uiPriority w:val="39"/>
    <w:rsid w:val="003F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A4C47-6607-4938-9999-418C466A5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10</Pages>
  <Words>3497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Imperial College London</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Peat, Andrew M</dc:creator>
  <cp:lastModifiedBy>Peat, Andrew M</cp:lastModifiedBy>
  <cp:revision>6</cp:revision>
  <cp:lastPrinted>2019-01-14T14:48:00Z</cp:lastPrinted>
  <dcterms:created xsi:type="dcterms:W3CDTF">2019-03-14T10:43:00Z</dcterms:created>
  <dcterms:modified xsi:type="dcterms:W3CDTF">2019-03-14T11:28:00Z</dcterms:modified>
</cp:coreProperties>
</file>