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0A933" w14:textId="0BD32948" w:rsidR="00140EF3" w:rsidRPr="00BD4468" w:rsidRDefault="00140EF3" w:rsidP="00140EF3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JUNE 2014 RISK ANALYSIS</w:t>
      </w:r>
    </w:p>
    <w:p w14:paraId="2BD23FCF" w14:textId="40D800CF" w:rsidR="00787CBD" w:rsidRDefault="00787CBD" w:rsidP="00E825A6"/>
    <w:p w14:paraId="6C4226D1" w14:textId="1416F629" w:rsidR="00E825A6" w:rsidRPr="00E00C66" w:rsidRDefault="00E825A6" w:rsidP="00E825A6">
      <w:pPr>
        <w:rPr>
          <w:u w:val="single"/>
        </w:rPr>
      </w:pPr>
      <w:r w:rsidRPr="00E00C66">
        <w:rPr>
          <w:u w:val="single"/>
        </w:rPr>
        <w:t>Contents:</w:t>
      </w:r>
    </w:p>
    <w:p w14:paraId="73836DC4" w14:textId="1EC41AE0" w:rsidR="00E825A6" w:rsidRDefault="00335C53" w:rsidP="00E825A6">
      <w:pPr>
        <w:pStyle w:val="ListParagraph"/>
        <w:numPr>
          <w:ilvl w:val="0"/>
          <w:numId w:val="3"/>
        </w:numPr>
      </w:pPr>
      <w:r>
        <w:t>June 2014 Risk Analysis - Information</w:t>
      </w:r>
    </w:p>
    <w:p w14:paraId="4186F151" w14:textId="77777777" w:rsidR="004D3A12" w:rsidRDefault="004D3A12" w:rsidP="00E825A6">
      <w:pPr>
        <w:pStyle w:val="ListParagraph"/>
        <w:numPr>
          <w:ilvl w:val="0"/>
          <w:numId w:val="3"/>
        </w:numPr>
      </w:pPr>
      <w:r>
        <w:t>Threat Risk: Common Theme Trend Analysis</w:t>
      </w:r>
    </w:p>
    <w:p w14:paraId="2723B7CA" w14:textId="09659237" w:rsidR="00E825A6" w:rsidRDefault="00E825A6" w:rsidP="00E825A6">
      <w:pPr>
        <w:pStyle w:val="ListParagraph"/>
        <w:numPr>
          <w:ilvl w:val="0"/>
          <w:numId w:val="3"/>
        </w:numPr>
      </w:pPr>
      <w:r>
        <w:t xml:space="preserve">Appendix: </w:t>
      </w:r>
    </w:p>
    <w:p w14:paraId="441517E1" w14:textId="67E1A04F" w:rsidR="00E825A6" w:rsidRDefault="00E825A6" w:rsidP="00E825A6">
      <w:pPr>
        <w:pStyle w:val="ListParagraph"/>
        <w:numPr>
          <w:ilvl w:val="0"/>
          <w:numId w:val="1"/>
        </w:numPr>
      </w:pPr>
      <w:r>
        <w:t>Departmental threat risk charts by Faculty / Area</w:t>
      </w:r>
    </w:p>
    <w:p w14:paraId="62E7FCFB" w14:textId="78E111B5" w:rsidR="00E825A6" w:rsidRDefault="00E825A6" w:rsidP="00E825A6">
      <w:pPr>
        <w:pStyle w:val="ListParagraph"/>
        <w:numPr>
          <w:ilvl w:val="0"/>
          <w:numId w:val="1"/>
        </w:numPr>
      </w:pPr>
      <w:r>
        <w:t>Faculty Threat Risks</w:t>
      </w:r>
    </w:p>
    <w:p w14:paraId="19F7A64A" w14:textId="77777777" w:rsidR="00E825A6" w:rsidRDefault="00E825A6" w:rsidP="00990F67"/>
    <w:p w14:paraId="079023A2" w14:textId="19326A9C" w:rsidR="00E00C66" w:rsidRPr="00E00C66" w:rsidRDefault="00E00C66" w:rsidP="00E00C66">
      <w:pPr>
        <w:pStyle w:val="ListParagraph"/>
        <w:numPr>
          <w:ilvl w:val="0"/>
          <w:numId w:val="4"/>
        </w:numPr>
        <w:ind w:left="360"/>
        <w:rPr>
          <w:u w:val="single"/>
        </w:rPr>
      </w:pPr>
      <w:r w:rsidRPr="00E00C66">
        <w:rPr>
          <w:u w:val="single"/>
        </w:rPr>
        <w:t>June 2014 Risk Analysis - Information</w:t>
      </w:r>
    </w:p>
    <w:p w14:paraId="442479FC" w14:textId="45ECFC62" w:rsidR="00123018" w:rsidRDefault="00123018" w:rsidP="0066112E">
      <w:pPr>
        <w:rPr>
          <w:rFonts w:eastAsia="Times New Roman" w:cs="Arial"/>
          <w:color w:val="000000"/>
          <w:szCs w:val="20"/>
          <w:lang w:eastAsia="en-GB"/>
        </w:rPr>
      </w:pPr>
      <w:r>
        <w:rPr>
          <w:rFonts w:eastAsia="Times New Roman" w:cs="Arial"/>
          <w:color w:val="000000"/>
          <w:szCs w:val="20"/>
          <w:lang w:eastAsia="en-GB"/>
        </w:rPr>
        <w:t xml:space="preserve">Empirical contains currently nearly 1000 risks and of these nearly 50% have </w:t>
      </w:r>
      <w:r w:rsidRPr="0066112E">
        <w:rPr>
          <w:rFonts w:eastAsia="Times New Roman" w:cs="Arial"/>
          <w:color w:val="000000"/>
          <w:szCs w:val="20"/>
          <w:lang w:eastAsia="en-GB"/>
        </w:rPr>
        <w:t>a</w:t>
      </w:r>
      <w:r w:rsidR="00FB5A7D">
        <w:rPr>
          <w:rFonts w:eastAsia="Times New Roman" w:cs="Arial"/>
          <w:color w:val="000000"/>
          <w:szCs w:val="20"/>
          <w:lang w:eastAsia="en-GB"/>
        </w:rPr>
        <w:t xml:space="preserve"> significant score (</w:t>
      </w:r>
      <w:r w:rsidRPr="0066112E">
        <w:rPr>
          <w:rFonts w:eastAsia="Times New Roman" w:cs="Arial"/>
          <w:color w:val="000000"/>
          <w:szCs w:val="20"/>
          <w:lang w:eastAsia="en-GB"/>
        </w:rPr>
        <w:t>Impact and/or Likelihood score of 7 or above or a total score of 25 or above</w:t>
      </w:r>
      <w:r w:rsidR="00FB5A7D">
        <w:rPr>
          <w:rFonts w:eastAsia="Times New Roman" w:cs="Arial"/>
          <w:color w:val="000000"/>
          <w:szCs w:val="20"/>
          <w:lang w:eastAsia="en-GB"/>
        </w:rPr>
        <w:t>)</w:t>
      </w:r>
      <w:r>
        <w:rPr>
          <w:rFonts w:eastAsia="Times New Roman" w:cs="Arial"/>
          <w:color w:val="000000"/>
          <w:szCs w:val="20"/>
          <w:lang w:eastAsia="en-GB"/>
        </w:rPr>
        <w:t xml:space="preserve"> and have been used in this analysis.</w:t>
      </w:r>
    </w:p>
    <w:p w14:paraId="2F9B227B" w14:textId="77777777" w:rsidR="00FB5A7D" w:rsidRDefault="00FB5A7D" w:rsidP="00AC5946">
      <w:pPr>
        <w:rPr>
          <w:rFonts w:eastAsia="Times New Roman" w:cs="Arial"/>
          <w:color w:val="000000"/>
          <w:szCs w:val="20"/>
          <w:lang w:eastAsia="en-GB"/>
        </w:rPr>
      </w:pPr>
    </w:p>
    <w:p w14:paraId="1729704D" w14:textId="29C0C99D" w:rsidR="00853A34" w:rsidRDefault="00AC5946" w:rsidP="00AC5946">
      <w:pPr>
        <w:rPr>
          <w:rFonts w:eastAsia="Times New Roman" w:cs="Arial"/>
          <w:color w:val="000000"/>
          <w:szCs w:val="20"/>
          <w:lang w:eastAsia="en-GB"/>
        </w:rPr>
      </w:pPr>
      <w:r>
        <w:rPr>
          <w:rFonts w:eastAsia="Times New Roman" w:cs="Arial"/>
          <w:color w:val="000000"/>
          <w:szCs w:val="20"/>
          <w:lang w:eastAsia="en-GB"/>
        </w:rPr>
        <w:t xml:space="preserve">The analysis extract was taken </w:t>
      </w:r>
      <w:r w:rsidR="007E74DB">
        <w:rPr>
          <w:rFonts w:eastAsia="Times New Roman" w:cs="Arial"/>
          <w:color w:val="000000"/>
          <w:szCs w:val="20"/>
          <w:lang w:eastAsia="en-GB"/>
        </w:rPr>
        <w:t xml:space="preserve">from Empirical </w:t>
      </w:r>
      <w:r>
        <w:rPr>
          <w:rFonts w:eastAsia="Times New Roman" w:cs="Arial"/>
          <w:color w:val="000000"/>
          <w:szCs w:val="20"/>
          <w:lang w:eastAsia="en-GB"/>
        </w:rPr>
        <w:t>at the beginning of June</w:t>
      </w:r>
      <w:r w:rsidR="007E74DB">
        <w:rPr>
          <w:rFonts w:eastAsia="Times New Roman" w:cs="Arial"/>
          <w:color w:val="000000"/>
          <w:szCs w:val="20"/>
          <w:lang w:eastAsia="en-GB"/>
        </w:rPr>
        <w:t xml:space="preserve"> 2014</w:t>
      </w:r>
      <w:r w:rsidR="00576462">
        <w:rPr>
          <w:rFonts w:eastAsia="Times New Roman" w:cs="Arial"/>
          <w:color w:val="000000"/>
          <w:szCs w:val="20"/>
          <w:lang w:eastAsia="en-GB"/>
        </w:rPr>
        <w:t>,</w:t>
      </w:r>
      <w:r>
        <w:rPr>
          <w:rFonts w:eastAsia="Times New Roman" w:cs="Arial"/>
          <w:color w:val="000000"/>
          <w:szCs w:val="20"/>
          <w:lang w:eastAsia="en-GB"/>
        </w:rPr>
        <w:t xml:space="preserve"> which was slightly later than normal to allow for</w:t>
      </w:r>
      <w:r w:rsidR="00576462">
        <w:rPr>
          <w:rFonts w:eastAsia="Times New Roman" w:cs="Arial"/>
          <w:color w:val="000000"/>
          <w:szCs w:val="20"/>
          <w:lang w:eastAsia="en-GB"/>
        </w:rPr>
        <w:t xml:space="preserve"> updating requests to be accommodated, and the data set further reduced by counting common theme categories once per Department for threat risks </w:t>
      </w:r>
      <w:r w:rsidR="00FB5A7D">
        <w:rPr>
          <w:rFonts w:eastAsia="Times New Roman" w:cs="Arial"/>
          <w:color w:val="000000"/>
          <w:szCs w:val="20"/>
          <w:lang w:eastAsia="en-GB"/>
        </w:rPr>
        <w:t>giving a to</w:t>
      </w:r>
      <w:r w:rsidR="002979E2">
        <w:rPr>
          <w:rFonts w:eastAsia="Times New Roman" w:cs="Arial"/>
          <w:color w:val="000000"/>
          <w:szCs w:val="20"/>
          <w:lang w:eastAsia="en-GB"/>
        </w:rPr>
        <w:t>tal count of 256 risks across 54</w:t>
      </w:r>
      <w:r w:rsidR="00FB5A7D">
        <w:rPr>
          <w:rFonts w:eastAsia="Times New Roman" w:cs="Arial"/>
          <w:color w:val="000000"/>
          <w:szCs w:val="20"/>
          <w:lang w:eastAsia="en-GB"/>
        </w:rPr>
        <w:t xml:space="preserve"> Departments </w:t>
      </w:r>
      <w:r w:rsidR="00576462">
        <w:rPr>
          <w:rFonts w:eastAsia="Times New Roman" w:cs="Arial"/>
          <w:color w:val="000000"/>
          <w:szCs w:val="20"/>
          <w:lang w:eastAsia="en-GB"/>
        </w:rPr>
        <w:t>(see</w:t>
      </w:r>
      <w:r w:rsidR="00FB5A7D">
        <w:rPr>
          <w:rFonts w:eastAsia="Times New Roman" w:cs="Arial"/>
          <w:color w:val="000000"/>
          <w:szCs w:val="20"/>
          <w:lang w:eastAsia="en-GB"/>
        </w:rPr>
        <w:t xml:space="preserve"> appendix:</w:t>
      </w:r>
      <w:r w:rsidR="00576462">
        <w:rPr>
          <w:rFonts w:eastAsia="Times New Roman" w:cs="Arial"/>
          <w:color w:val="000000"/>
          <w:szCs w:val="20"/>
          <w:lang w:eastAsia="en-GB"/>
        </w:rPr>
        <w:t xml:space="preserve"> ‘Faculty Risks’ diagram for </w:t>
      </w:r>
      <w:r w:rsidR="007E74DB">
        <w:rPr>
          <w:rFonts w:eastAsia="Times New Roman" w:cs="Arial"/>
          <w:color w:val="000000"/>
          <w:szCs w:val="20"/>
          <w:lang w:eastAsia="en-GB"/>
        </w:rPr>
        <w:t>F</w:t>
      </w:r>
      <w:r w:rsidR="00576462">
        <w:rPr>
          <w:rFonts w:eastAsia="Times New Roman" w:cs="Arial"/>
          <w:color w:val="000000"/>
          <w:szCs w:val="20"/>
          <w:lang w:eastAsia="en-GB"/>
        </w:rPr>
        <w:t xml:space="preserve">aculty level </w:t>
      </w:r>
      <w:r w:rsidR="00EB0D3F">
        <w:rPr>
          <w:rFonts w:eastAsia="Times New Roman" w:cs="Arial"/>
          <w:color w:val="000000"/>
          <w:szCs w:val="20"/>
          <w:lang w:eastAsia="en-GB"/>
        </w:rPr>
        <w:t xml:space="preserve">threat </w:t>
      </w:r>
      <w:r w:rsidR="00576462">
        <w:rPr>
          <w:rFonts w:eastAsia="Times New Roman" w:cs="Arial"/>
          <w:color w:val="000000"/>
          <w:szCs w:val="20"/>
          <w:lang w:eastAsia="en-GB"/>
        </w:rPr>
        <w:t>data. Opportunity risks and College level risks are</w:t>
      </w:r>
      <w:r w:rsidR="00853A34">
        <w:rPr>
          <w:rFonts w:eastAsia="Times New Roman" w:cs="Arial"/>
          <w:color w:val="000000"/>
          <w:szCs w:val="20"/>
          <w:lang w:eastAsia="en-GB"/>
        </w:rPr>
        <w:t xml:space="preserve"> not included in this analysis).</w:t>
      </w:r>
    </w:p>
    <w:p w14:paraId="651788AC" w14:textId="77777777" w:rsidR="007E74DB" w:rsidRDefault="007E74DB" w:rsidP="00AC5946">
      <w:pPr>
        <w:rPr>
          <w:rFonts w:eastAsia="Times New Roman" w:cs="Arial"/>
          <w:color w:val="000000"/>
          <w:szCs w:val="20"/>
          <w:lang w:eastAsia="en-GB"/>
        </w:rPr>
      </w:pPr>
    </w:p>
    <w:p w14:paraId="45720909" w14:textId="7C49C88D" w:rsidR="00576462" w:rsidRDefault="002740DD" w:rsidP="00AC5946">
      <w:r>
        <w:t xml:space="preserve">College changes, such as changes in establishment and areas of activity, impact on the Risk Profile </w:t>
      </w:r>
      <w:r w:rsidR="00950B69">
        <w:t xml:space="preserve">and this analysis should be considered as a guide </w:t>
      </w:r>
      <w:r w:rsidR="007E74DB">
        <w:t>rather than a definitive analysis of College Risk</w:t>
      </w:r>
      <w:r w:rsidR="00BE1BB2">
        <w:t>s</w:t>
      </w:r>
      <w:r w:rsidR="007E74DB">
        <w:t xml:space="preserve"> as the scope it applies to is dynamic. The analysis is generated by </w:t>
      </w:r>
      <w:r w:rsidR="00950B69">
        <w:t xml:space="preserve">the information currently recorded in Empirical </w:t>
      </w:r>
      <w:r w:rsidR="007E74DB">
        <w:t xml:space="preserve">and </w:t>
      </w:r>
      <w:r w:rsidR="00841F80">
        <w:t>where some of the changes are quite small reliance should not be placed on the trend indicator without further corroboration.</w:t>
      </w:r>
      <w:r w:rsidR="00BE1BB2">
        <w:t xml:space="preserve"> Also some risks (8 in total) are so specific to particular areas they have been categorised as ‘Unique’ rather than creating specific categories for such specialised areas of risk.</w:t>
      </w:r>
    </w:p>
    <w:p w14:paraId="0AC2AD33" w14:textId="77777777" w:rsidR="007E74DB" w:rsidRDefault="007E74DB" w:rsidP="00AC5946"/>
    <w:p w14:paraId="1BE5AF79" w14:textId="77777777" w:rsidR="004D4C17" w:rsidRDefault="0047076A" w:rsidP="00AC5946">
      <w:r>
        <w:t xml:space="preserve">The frequency data </w:t>
      </w:r>
      <w:r w:rsidR="004D4C17">
        <w:t xml:space="preserve">(see Figure 1) </w:t>
      </w:r>
      <w:r>
        <w:t xml:space="preserve">would indicate that the key risk areas remain similar with clustering around </w:t>
      </w:r>
      <w:r w:rsidR="004D4C17">
        <w:t xml:space="preserve">Finance, Staff and </w:t>
      </w:r>
      <w:r>
        <w:t xml:space="preserve">Disaster Recovery. </w:t>
      </w:r>
    </w:p>
    <w:p w14:paraId="3EEE9675" w14:textId="77777777" w:rsidR="008629F1" w:rsidRDefault="008629F1" w:rsidP="00AC5946"/>
    <w:p w14:paraId="7A0A8A94" w14:textId="77777777" w:rsidR="004D4C17" w:rsidRDefault="004D4C17" w:rsidP="00712680">
      <w:pPr>
        <w:keepNext/>
        <w:ind w:left="720"/>
      </w:pPr>
      <w:r>
        <w:rPr>
          <w:noProof/>
          <w:lang w:eastAsia="en-GB"/>
        </w:rPr>
        <w:drawing>
          <wp:inline distT="0" distB="0" distL="0" distR="0" wp14:anchorId="0EBDBC3B" wp14:editId="59C0E166">
            <wp:extent cx="3267075" cy="2209800"/>
            <wp:effectExtent l="0" t="0" r="9525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A978B0" w14:textId="09FB6B43" w:rsidR="004D4C17" w:rsidRDefault="004D4C17" w:rsidP="00712680">
      <w:pPr>
        <w:pStyle w:val="Caption"/>
        <w:ind w:left="720"/>
      </w:pPr>
      <w:r>
        <w:t xml:space="preserve">Figure </w:t>
      </w:r>
      <w:r w:rsidR="00235F12">
        <w:fldChar w:fldCharType="begin"/>
      </w:r>
      <w:r w:rsidR="00235F12">
        <w:instrText xml:space="preserve"> SEQ Figure \* ARABIC </w:instrText>
      </w:r>
      <w:r w:rsidR="00235F12">
        <w:fldChar w:fldCharType="separate"/>
      </w:r>
      <w:r w:rsidR="009E013F">
        <w:rPr>
          <w:noProof/>
        </w:rPr>
        <w:t>1</w:t>
      </w:r>
      <w:r w:rsidR="00235F12">
        <w:rPr>
          <w:noProof/>
        </w:rPr>
        <w:fldChar w:fldCharType="end"/>
      </w:r>
    </w:p>
    <w:p w14:paraId="15A99CFE" w14:textId="0B3591B5" w:rsidR="008629F1" w:rsidRDefault="004D4C17" w:rsidP="00AC5946">
      <w:r>
        <w:t>Disaster Recovery, Finance, ICT and Students show an overall slight decrease, with the remaining areas staying generally level or with an increase count of 1 or 2 and, although requiring continued monitoring, there are no currently recorded major increases or new areas.</w:t>
      </w:r>
      <w:r w:rsidR="00C61D4B">
        <w:t xml:space="preserve"> </w:t>
      </w:r>
    </w:p>
    <w:p w14:paraId="31BDB284" w14:textId="77777777" w:rsidR="008629F1" w:rsidRDefault="008629F1" w:rsidP="00AC5946"/>
    <w:p w14:paraId="78C5FFDB" w14:textId="5A802792" w:rsidR="00C61D4B" w:rsidRDefault="00C61D4B" w:rsidP="00C61D4B">
      <w:r>
        <w:t xml:space="preserve">The charts in the Appendix show Departmental threat risks by Faculty / Area and include a chart for Faculty Threat Risks. </w:t>
      </w:r>
      <w:r w:rsidR="00712680">
        <w:t xml:space="preserve">The current College Risk areas are indicated on the charts </w:t>
      </w:r>
      <w:r w:rsidR="00D5463A">
        <w:t xml:space="preserve">with the symbol </w:t>
      </w:r>
      <w:r w:rsidR="00CD3A77" w:rsidRPr="00D5463A">
        <w:rPr>
          <w:noProof/>
          <w:lang w:eastAsia="en-GB"/>
        </w:rPr>
        <w:drawing>
          <wp:inline distT="0" distB="0" distL="0" distR="0" wp14:anchorId="017AF278" wp14:editId="64B4A4AE">
            <wp:extent cx="104400" cy="12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63A">
        <w:t xml:space="preserve"> to indicate where Department and Faculty risks have alignment with College level risks.  </w:t>
      </w:r>
    </w:p>
    <w:p w14:paraId="0CE7F3A0" w14:textId="2234473D" w:rsidR="008629F1" w:rsidRDefault="008629F1" w:rsidP="00AC5946"/>
    <w:p w14:paraId="5A588644" w14:textId="0DE4A04B" w:rsidR="001E38D3" w:rsidRDefault="001E38D3" w:rsidP="00AC5946">
      <w:r>
        <w:t>The Risk Analysis is facilitated by Staff recording and updating Empirical forming a journal of risk information of benefit at all levels of the College and we would like to thank the Staff for their continued support.</w:t>
      </w:r>
    </w:p>
    <w:p w14:paraId="77959C56" w14:textId="77777777" w:rsidR="00990F67" w:rsidRDefault="00990F67" w:rsidP="003E3090"/>
    <w:p w14:paraId="70A1FCC7" w14:textId="6AB75DFA" w:rsidR="00E00C66" w:rsidRDefault="00E00C66" w:rsidP="00E54240">
      <w:pPr>
        <w:jc w:val="center"/>
      </w:pPr>
    </w:p>
    <w:p w14:paraId="158C97CF" w14:textId="226D141D" w:rsidR="00E00C66" w:rsidRPr="00E00C66" w:rsidRDefault="00E00C66" w:rsidP="00E00C66">
      <w:pPr>
        <w:pStyle w:val="ListParagraph"/>
        <w:numPr>
          <w:ilvl w:val="0"/>
          <w:numId w:val="4"/>
        </w:numPr>
        <w:rPr>
          <w:u w:val="single"/>
        </w:rPr>
      </w:pPr>
      <w:r w:rsidRPr="00E00C66">
        <w:rPr>
          <w:u w:val="single"/>
        </w:rPr>
        <w:t>Threat Risk: Common Theme Trend Analysis</w:t>
      </w:r>
    </w:p>
    <w:p w14:paraId="148EA2A6" w14:textId="77777777" w:rsidR="00E00C66" w:rsidRDefault="00E00C66" w:rsidP="00E54240">
      <w:pPr>
        <w:jc w:val="center"/>
      </w:pPr>
    </w:p>
    <w:p w14:paraId="493D27FF" w14:textId="502BB450" w:rsidR="00E54240" w:rsidRDefault="00E54240" w:rsidP="00E54240">
      <w:pPr>
        <w:jc w:val="center"/>
      </w:pPr>
      <w:r>
        <w:rPr>
          <w:noProof/>
          <w:lang w:eastAsia="en-GB"/>
        </w:rPr>
        <w:drawing>
          <wp:inline distT="0" distB="0" distL="0" distR="0" wp14:anchorId="37B14398" wp14:editId="6A94B9F5">
            <wp:extent cx="6105524" cy="667409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 by categor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4" cy="66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28C8" w14:textId="77777777" w:rsidR="00E54240" w:rsidRDefault="00E54240" w:rsidP="00E54240">
      <w:pPr>
        <w:jc w:val="center"/>
      </w:pPr>
    </w:p>
    <w:p w14:paraId="5B50F6F0" w14:textId="77777777" w:rsidR="00E54240" w:rsidRDefault="00E54240"/>
    <w:p w14:paraId="1EC6C6C6" w14:textId="77777777" w:rsidR="00E54240" w:rsidRDefault="00E54240">
      <w:pPr>
        <w:sectPr w:rsidR="00E54240" w:rsidSect="00BE1BB2">
          <w:pgSz w:w="11906" w:h="16838"/>
          <w:pgMar w:top="851" w:right="1440" w:bottom="1134" w:left="851" w:header="708" w:footer="708" w:gutter="0"/>
          <w:cols w:space="708"/>
          <w:docGrid w:linePitch="360"/>
        </w:sectPr>
      </w:pPr>
    </w:p>
    <w:p w14:paraId="518B4C9A" w14:textId="1AC3EC59" w:rsidR="00496E82" w:rsidRPr="00496E82" w:rsidRDefault="00496E82">
      <w:pPr>
        <w:rPr>
          <w:u w:val="single"/>
        </w:rPr>
      </w:pPr>
      <w:r w:rsidRPr="00496E82">
        <w:rPr>
          <w:u w:val="single"/>
        </w:rPr>
        <w:lastRenderedPageBreak/>
        <w:t>APPENDIX</w:t>
      </w:r>
    </w:p>
    <w:p w14:paraId="6D741E86" w14:textId="77777777" w:rsidR="00496E82" w:rsidRPr="00496E82" w:rsidRDefault="00496E82">
      <w:pPr>
        <w:rPr>
          <w:sz w:val="16"/>
          <w:szCs w:val="16"/>
        </w:rPr>
      </w:pPr>
    </w:p>
    <w:p w14:paraId="46E7A7F7" w14:textId="43D15083" w:rsidR="00151CE7" w:rsidRDefault="00A60409">
      <w:r w:rsidRPr="00A60409">
        <w:rPr>
          <w:noProof/>
          <w:lang w:eastAsia="en-GB"/>
        </w:rPr>
        <w:drawing>
          <wp:inline distT="0" distB="0" distL="0" distR="0" wp14:anchorId="500A7A92" wp14:editId="50645959">
            <wp:extent cx="8258175" cy="6180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61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03E4" w14:textId="2E70D843" w:rsidR="00A60409" w:rsidRDefault="00A60409">
      <w:r w:rsidRPr="00A60409">
        <w:rPr>
          <w:noProof/>
          <w:lang w:eastAsia="en-GB"/>
        </w:rPr>
        <w:lastRenderedPageBreak/>
        <w:drawing>
          <wp:inline distT="0" distB="0" distL="0" distR="0" wp14:anchorId="3A255F7A" wp14:editId="5BF3C16B">
            <wp:extent cx="8635854" cy="5737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48370" cy="57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167D" w14:textId="77777777" w:rsidR="00A60409" w:rsidRDefault="00A60409"/>
    <w:p w14:paraId="687B9379" w14:textId="77777777" w:rsidR="00A60409" w:rsidRDefault="00A60409"/>
    <w:p w14:paraId="67D56F88" w14:textId="16DB3F52" w:rsidR="00A60409" w:rsidRDefault="00A60409">
      <w:r w:rsidRPr="00A60409">
        <w:rPr>
          <w:noProof/>
          <w:lang w:eastAsia="en-GB"/>
        </w:rPr>
        <w:lastRenderedPageBreak/>
        <w:drawing>
          <wp:inline distT="0" distB="0" distL="0" distR="0" wp14:anchorId="7418E6A1" wp14:editId="35EDD9A0">
            <wp:extent cx="8105775" cy="61416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614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233B" w14:textId="77777777" w:rsidR="00A60409" w:rsidRDefault="00A60409"/>
    <w:p w14:paraId="080D93BC" w14:textId="77777777" w:rsidR="00A60409" w:rsidRDefault="00A60409"/>
    <w:p w14:paraId="0BE94C2C" w14:textId="77777777" w:rsidR="00A60409" w:rsidRDefault="00A60409"/>
    <w:p w14:paraId="101BE24B" w14:textId="77777777" w:rsidR="00A60409" w:rsidRDefault="00A60409"/>
    <w:p w14:paraId="637CAF53" w14:textId="0FE0A79B" w:rsidR="00C95DCC" w:rsidRDefault="00C95DCC"/>
    <w:p w14:paraId="73794F35" w14:textId="77777777" w:rsidR="00C95DCC" w:rsidRDefault="00C95DCC"/>
    <w:p w14:paraId="53B54AEB" w14:textId="77777777" w:rsidR="00C95DCC" w:rsidRDefault="00C95DCC"/>
    <w:p w14:paraId="40A78B92" w14:textId="77777777" w:rsidR="00C95DCC" w:rsidRDefault="00C95DCC"/>
    <w:p w14:paraId="1C59C515" w14:textId="77777777" w:rsidR="00C95DCC" w:rsidRDefault="00C95DCC"/>
    <w:p w14:paraId="453726B5" w14:textId="7788E3B7" w:rsidR="00C95DCC" w:rsidRDefault="00324388">
      <w:r w:rsidRPr="00324388">
        <w:rPr>
          <w:noProof/>
          <w:lang w:eastAsia="en-GB"/>
        </w:rPr>
        <w:drawing>
          <wp:inline distT="0" distB="0" distL="0" distR="0" wp14:anchorId="5994E481" wp14:editId="28C6DAA1">
            <wp:extent cx="9124945" cy="402336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36014" cy="40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0EA3" w14:textId="77777777" w:rsidR="00C95DCC" w:rsidRDefault="00C95DCC"/>
    <w:p w14:paraId="3CDAB981" w14:textId="77777777" w:rsidR="00C95DCC" w:rsidRDefault="00C95DCC"/>
    <w:p w14:paraId="7E9082DA" w14:textId="77777777" w:rsidR="00C95DCC" w:rsidRDefault="00C95DCC"/>
    <w:p w14:paraId="79EF05DB" w14:textId="77777777" w:rsidR="00C95DCC" w:rsidRDefault="00C95DCC"/>
    <w:p w14:paraId="3C1B323F" w14:textId="77777777" w:rsidR="00C95DCC" w:rsidRDefault="00C95DCC"/>
    <w:p w14:paraId="33C60F33" w14:textId="2C084DD9" w:rsidR="003A5536" w:rsidRDefault="003A5536"/>
    <w:p w14:paraId="5ED4FD5A" w14:textId="77777777" w:rsidR="003A5536" w:rsidRDefault="003A5536"/>
    <w:p w14:paraId="6440FC06" w14:textId="77777777" w:rsidR="003A5536" w:rsidRDefault="003A5536"/>
    <w:p w14:paraId="377F4160" w14:textId="77777777" w:rsidR="003A5536" w:rsidRDefault="003A5536"/>
    <w:p w14:paraId="079E1DDB" w14:textId="77777777" w:rsidR="003A5536" w:rsidRDefault="003A5536"/>
    <w:p w14:paraId="3294F064" w14:textId="7ECA19E7" w:rsidR="003A5536" w:rsidRDefault="00EB65D1">
      <w:r w:rsidRPr="00EB65D1">
        <w:rPr>
          <w:noProof/>
          <w:lang w:eastAsia="en-GB"/>
        </w:rPr>
        <w:drawing>
          <wp:inline distT="0" distB="0" distL="0" distR="0" wp14:anchorId="2A50A88F" wp14:editId="591164FA">
            <wp:extent cx="8715572" cy="4320540"/>
            <wp:effectExtent l="0" t="0" r="952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41949" cy="4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1EBF" w14:textId="77777777" w:rsidR="00C95DCC" w:rsidRDefault="00C95DCC"/>
    <w:p w14:paraId="2A6616C4" w14:textId="77777777" w:rsidR="00C95DCC" w:rsidRDefault="00C95DCC"/>
    <w:p w14:paraId="6F0FF7B7" w14:textId="44E96EEB" w:rsidR="00C95DCC" w:rsidRDefault="00F9769A">
      <w:r w:rsidRPr="00F9769A">
        <w:rPr>
          <w:noProof/>
          <w:lang w:eastAsia="en-GB"/>
        </w:rPr>
        <w:lastRenderedPageBreak/>
        <w:drawing>
          <wp:inline distT="0" distB="0" distL="0" distR="0" wp14:anchorId="4A5117D8" wp14:editId="46A81EAE">
            <wp:extent cx="9173897" cy="476631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79560" cy="476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D629" w14:textId="0E985750" w:rsidR="00324D6A" w:rsidRDefault="00324D6A"/>
    <w:p w14:paraId="52CC9C63" w14:textId="49422952" w:rsidR="00324D6A" w:rsidRDefault="00324D6A">
      <w:r w:rsidRPr="00324D6A">
        <w:rPr>
          <w:noProof/>
          <w:lang w:eastAsia="en-GB"/>
        </w:rPr>
        <w:lastRenderedPageBreak/>
        <w:drawing>
          <wp:inline distT="0" distB="0" distL="0" distR="0" wp14:anchorId="0A380389" wp14:editId="3D72EC0C">
            <wp:extent cx="8867505" cy="4937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750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6336B" w14:textId="595682C1" w:rsidR="00290E10" w:rsidRDefault="00290E10">
      <w:r w:rsidRPr="00290E10">
        <w:rPr>
          <w:noProof/>
          <w:lang w:eastAsia="en-GB"/>
        </w:rPr>
        <w:lastRenderedPageBreak/>
        <w:drawing>
          <wp:inline distT="0" distB="0" distL="0" distR="0" wp14:anchorId="66E3130F" wp14:editId="6758F7FE">
            <wp:extent cx="9265773" cy="5314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74410" cy="53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ADC0C" w14:textId="7CA0F9E9" w:rsidR="0028771F" w:rsidRDefault="0028771F"/>
    <w:p w14:paraId="4EADCD12" w14:textId="77777777" w:rsidR="0028771F" w:rsidRDefault="0028771F"/>
    <w:p w14:paraId="1940D11C" w14:textId="77777777" w:rsidR="00D2718D" w:rsidRDefault="00D2718D"/>
    <w:p w14:paraId="66A2D318" w14:textId="77777777" w:rsidR="00D2718D" w:rsidRDefault="00D2718D"/>
    <w:p w14:paraId="0F893B34" w14:textId="77777777" w:rsidR="00D2718D" w:rsidRDefault="00D2718D"/>
    <w:p w14:paraId="0688EA10" w14:textId="77777777" w:rsidR="00D2718D" w:rsidRDefault="00D2718D"/>
    <w:p w14:paraId="179AFB63" w14:textId="14AD367A" w:rsidR="00D2718D" w:rsidRDefault="00D2718D">
      <w:r w:rsidRPr="00D2718D">
        <w:rPr>
          <w:noProof/>
          <w:lang w:eastAsia="en-GB"/>
        </w:rPr>
        <w:lastRenderedPageBreak/>
        <w:drawing>
          <wp:inline distT="0" distB="0" distL="0" distR="0" wp14:anchorId="540FAC87" wp14:editId="4087245D">
            <wp:extent cx="8941544" cy="52120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44823" cy="521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BCA3" w14:textId="77777777" w:rsidR="00D2718D" w:rsidRDefault="00D2718D"/>
    <w:p w14:paraId="4413917B" w14:textId="77777777" w:rsidR="00D2718D" w:rsidRDefault="00D2718D"/>
    <w:p w14:paraId="15B96C54" w14:textId="0F761A51" w:rsidR="0028771F" w:rsidRDefault="00D2718D">
      <w:r w:rsidRPr="00D2718D">
        <w:rPr>
          <w:noProof/>
          <w:lang w:eastAsia="en-GB"/>
        </w:rPr>
        <w:lastRenderedPageBreak/>
        <w:drawing>
          <wp:inline distT="0" distB="0" distL="0" distR="0" wp14:anchorId="40DC471B" wp14:editId="4ECC936E">
            <wp:extent cx="9012903" cy="56349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71F" w:rsidSect="00496E82">
      <w:pgSz w:w="16838" w:h="11906" w:orient="landscape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998"/>
    <w:multiLevelType w:val="hybridMultilevel"/>
    <w:tmpl w:val="4C0CE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41056"/>
    <w:multiLevelType w:val="hybridMultilevel"/>
    <w:tmpl w:val="BB0AEB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306C74"/>
    <w:multiLevelType w:val="hybridMultilevel"/>
    <w:tmpl w:val="B4966B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F25AF"/>
    <w:multiLevelType w:val="hybridMultilevel"/>
    <w:tmpl w:val="AB64B540"/>
    <w:lvl w:ilvl="0" w:tplc="10D2B87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294E5F"/>
    <w:multiLevelType w:val="hybridMultilevel"/>
    <w:tmpl w:val="4C0CE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A5"/>
    <w:rsid w:val="00046AB4"/>
    <w:rsid w:val="00123018"/>
    <w:rsid w:val="00140EF3"/>
    <w:rsid w:val="00151CE7"/>
    <w:rsid w:val="00166A8A"/>
    <w:rsid w:val="001E38D3"/>
    <w:rsid w:val="00235F12"/>
    <w:rsid w:val="002740DD"/>
    <w:rsid w:val="0028771F"/>
    <w:rsid w:val="00290E10"/>
    <w:rsid w:val="002979E2"/>
    <w:rsid w:val="00324388"/>
    <w:rsid w:val="00324D6A"/>
    <w:rsid w:val="00335C53"/>
    <w:rsid w:val="003A5536"/>
    <w:rsid w:val="003E3090"/>
    <w:rsid w:val="00467D08"/>
    <w:rsid w:val="0047076A"/>
    <w:rsid w:val="00496E82"/>
    <w:rsid w:val="004D3A12"/>
    <w:rsid w:val="004D4C17"/>
    <w:rsid w:val="00550F09"/>
    <w:rsid w:val="00576462"/>
    <w:rsid w:val="0066112E"/>
    <w:rsid w:val="006A5AA5"/>
    <w:rsid w:val="00712680"/>
    <w:rsid w:val="00787CBD"/>
    <w:rsid w:val="007E1AE6"/>
    <w:rsid w:val="007E74DB"/>
    <w:rsid w:val="00841F80"/>
    <w:rsid w:val="00853A34"/>
    <w:rsid w:val="008629F1"/>
    <w:rsid w:val="008B15E7"/>
    <w:rsid w:val="008C2B76"/>
    <w:rsid w:val="00907E48"/>
    <w:rsid w:val="00950B69"/>
    <w:rsid w:val="009532DC"/>
    <w:rsid w:val="00990F67"/>
    <w:rsid w:val="009E013F"/>
    <w:rsid w:val="009F7219"/>
    <w:rsid w:val="00A60409"/>
    <w:rsid w:val="00AC5946"/>
    <w:rsid w:val="00BC183D"/>
    <w:rsid w:val="00BC30FC"/>
    <w:rsid w:val="00BE1BB2"/>
    <w:rsid w:val="00C61D4B"/>
    <w:rsid w:val="00C95DCC"/>
    <w:rsid w:val="00CD3A77"/>
    <w:rsid w:val="00D2718D"/>
    <w:rsid w:val="00D5463A"/>
    <w:rsid w:val="00DA2229"/>
    <w:rsid w:val="00E00C66"/>
    <w:rsid w:val="00E15A4B"/>
    <w:rsid w:val="00E54240"/>
    <w:rsid w:val="00E825A6"/>
    <w:rsid w:val="00EB0D3F"/>
    <w:rsid w:val="00EB65D1"/>
    <w:rsid w:val="00F9531E"/>
    <w:rsid w:val="00F9769A"/>
    <w:rsid w:val="00FB5A7D"/>
    <w:rsid w:val="00FD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113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A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7E4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825A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D4C1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A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7E4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825A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D4C1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share.imperial.ac.uk/services/risk/DR/4%20Reports%20and%20Analysis/3-6-2014%20Full%20Empirical%20Extract/NK%20trends%20final%201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'[NK trends final 1a.xlsx]Sheet1'!$C$138:$S$138</c:f>
              <c:strCache>
                <c:ptCount val="17"/>
                <c:pt idx="0">
                  <c:v>Finance</c:v>
                </c:pt>
                <c:pt idx="1">
                  <c:v>Staff</c:v>
                </c:pt>
                <c:pt idx="2">
                  <c:v>DR</c:v>
                </c:pt>
                <c:pt idx="3">
                  <c:v>Space</c:v>
                </c:pt>
                <c:pt idx="4">
                  <c:v>Process</c:v>
                </c:pt>
                <c:pt idx="5">
                  <c:v>Students</c:v>
                </c:pt>
                <c:pt idx="6">
                  <c:v>Partnerships</c:v>
                </c:pt>
                <c:pt idx="7">
                  <c:v>Regulation</c:v>
                </c:pt>
                <c:pt idx="8">
                  <c:v>H&amp;S</c:v>
                </c:pt>
                <c:pt idx="9">
                  <c:v>Reputation</c:v>
                </c:pt>
                <c:pt idx="10">
                  <c:v>Unique</c:v>
                </c:pt>
                <c:pt idx="11">
                  <c:v>ICT</c:v>
                </c:pt>
                <c:pt idx="12">
                  <c:v>Security</c:v>
                </c:pt>
                <c:pt idx="13">
                  <c:v>Strategic Vision</c:v>
                </c:pt>
                <c:pt idx="14">
                  <c:v>Visas</c:v>
                </c:pt>
                <c:pt idx="15">
                  <c:v>Supply Chain</c:v>
                </c:pt>
                <c:pt idx="16">
                  <c:v>Ref</c:v>
                </c:pt>
              </c:strCache>
            </c:strRef>
          </c:cat>
          <c:val>
            <c:numRef>
              <c:f>'[NK trends final 1a.xlsx]Sheet1'!$C$139:$S$139</c:f>
              <c:numCache>
                <c:formatCode>General</c:formatCode>
                <c:ptCount val="17"/>
                <c:pt idx="0">
                  <c:v>60</c:v>
                </c:pt>
                <c:pt idx="1">
                  <c:v>35</c:v>
                </c:pt>
                <c:pt idx="2">
                  <c:v>33</c:v>
                </c:pt>
                <c:pt idx="3">
                  <c:v>20</c:v>
                </c:pt>
                <c:pt idx="4">
                  <c:v>18</c:v>
                </c:pt>
                <c:pt idx="5">
                  <c:v>17</c:v>
                </c:pt>
                <c:pt idx="6">
                  <c:v>14</c:v>
                </c:pt>
                <c:pt idx="7">
                  <c:v>11</c:v>
                </c:pt>
                <c:pt idx="8">
                  <c:v>10</c:v>
                </c:pt>
                <c:pt idx="9">
                  <c:v>9</c:v>
                </c:pt>
                <c:pt idx="10">
                  <c:v>8</c:v>
                </c:pt>
                <c:pt idx="11">
                  <c:v>7</c:v>
                </c:pt>
                <c:pt idx="12">
                  <c:v>5</c:v>
                </c:pt>
                <c:pt idx="13">
                  <c:v>3</c:v>
                </c:pt>
                <c:pt idx="14">
                  <c:v>3</c:v>
                </c:pt>
                <c:pt idx="15">
                  <c:v>2</c:v>
                </c:pt>
                <c:pt idx="1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58752"/>
        <c:axId val="11672576"/>
      </c:barChart>
      <c:catAx>
        <c:axId val="8058752"/>
        <c:scaling>
          <c:orientation val="minMax"/>
        </c:scaling>
        <c:delete val="0"/>
        <c:axPos val="b"/>
        <c:majorTickMark val="out"/>
        <c:minorTickMark val="none"/>
        <c:tickLblPos val="nextTo"/>
        <c:crossAx val="11672576"/>
        <c:crosses val="autoZero"/>
        <c:auto val="1"/>
        <c:lblAlgn val="ctr"/>
        <c:lblOffset val="100"/>
        <c:noMultiLvlLbl val="0"/>
      </c:catAx>
      <c:valAx>
        <c:axId val="11672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587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isk Parent Content Type" ma:contentTypeID="0x010100B5F11B951D482B4189569C9B24F4301B00ECEA6A038788CC44A79AD10DCE1ABA66" ma:contentTypeVersion="7" ma:contentTypeDescription="" ma:contentTypeScope="" ma:versionID="d887d941a32550d8cf1d3272cd041b7f">
  <xsd:schema xmlns:xsd="http://www.w3.org/2001/XMLSchema" xmlns:xs="http://www.w3.org/2001/XMLSchema" xmlns:p="http://schemas.microsoft.com/office/2006/metadata/properties" xmlns:ns2="4de24acf-c24c-432d-968a-cf3ade046b87" xmlns:ns3="978fb9ad-7fde-4720-8c84-b4c35ec43a53" targetNamespace="http://schemas.microsoft.com/office/2006/metadata/properties" ma:root="true" ma:fieldsID="972aaa6e5768ec93e8457268e9875c1e" ns2:_="" ns3:_="">
    <xsd:import namespace="4de24acf-c24c-432d-968a-cf3ade046b87"/>
    <xsd:import namespace="978fb9ad-7fde-4720-8c84-b4c35ec43a53"/>
    <xsd:element name="properties">
      <xsd:complexType>
        <xsd:sequence>
          <xsd:element name="documentManagement">
            <xsd:complexType>
              <xsd:all>
                <xsd:element ref="ns2:Faculty_x0020_Name" minOccurs="0"/>
                <xsd:element ref="ns2:Campus_x0020_Name" minOccurs="0"/>
                <xsd:element ref="ns2:Building_x0020_Name" minOccurs="0"/>
                <xsd:element ref="ns2:Document_x0020_Type" minOccurs="0"/>
                <xsd:element ref="ns2:Year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24acf-c24c-432d-968a-cf3ade046b87" elementFormDefault="qualified">
    <xsd:import namespace="http://schemas.microsoft.com/office/2006/documentManagement/types"/>
    <xsd:import namespace="http://schemas.microsoft.com/office/infopath/2007/PartnerControls"/>
    <xsd:element name="Faculty_x0020_Name" ma:index="8" nillable="true" ma:displayName="Faculty Name" ma:internalName="Faculty_x0020_Nam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ultiple"/>
                    <xsd:enumeration value="FoE"/>
                    <xsd:enumeration value="FoM"/>
                    <xsd:enumeration value="FoNS"/>
                    <xsd:enumeration value="Business School"/>
                    <xsd:enumeration value="Support Services"/>
                    <xsd:enumeration value="Academic Services/Other"/>
                  </xsd:restriction>
                </xsd:simpleType>
              </xsd:element>
            </xsd:sequence>
          </xsd:extension>
        </xsd:complexContent>
      </xsd:complexType>
    </xsd:element>
    <xsd:element name="Campus_x0020_Name" ma:index="9" nillable="true" ma:displayName="Campus Name" ma:internalName="Campus_x0020_Nam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South Kensington"/>
                    <xsd:enumeration value="Hammersmith"/>
                    <xsd:enumeration value="St Mary’s"/>
                    <xsd:enumeration value="Charing Cross"/>
                    <xsd:enumeration value="Chelsea &amp; Westminster"/>
                    <xsd:enumeration value="Royal Brompton"/>
                    <xsd:enumeration value="Northwick Park"/>
                    <xsd:enumeration value="Silwood Park"/>
                    <xsd:enumeration value="Wye"/>
                    <xsd:enumeration value="Evelyn Gardens"/>
                  </xsd:restriction>
                </xsd:simpleType>
              </xsd:element>
            </xsd:sequence>
          </xsd:extension>
        </xsd:complexContent>
      </xsd:complexType>
    </xsd:element>
    <xsd:element name="Building_x0020_Name" ma:index="10" nillable="true" ma:displayName="Building Name" ma:format="Dropdown" ma:internalName="Building_x0020_Name">
      <xsd:simpleType>
        <xsd:restriction base="dms:Choice">
          <xsd:enumeration value="Multiple"/>
          <xsd:enumeration value="SOUTH KENSINGTON CAMPUS"/>
          <xsd:enumeration value="170 Queens Gate"/>
          <xsd:enumeration value="14 Prince's Gardens North Side"/>
          <xsd:enumeration value="15 Prince’s Gardens North Side"/>
          <xsd:enumeration value="46 - 48 Prince's Gardens"/>
          <xsd:enumeration value="58 Prince's Gardens"/>
          <xsd:enumeration value="52 Prince's Gate"/>
          <xsd:enumeration value="53 Prince's Gate"/>
          <xsd:enumeration value="ACE Extension"/>
          <xsd:enumeration value="Beit Quad"/>
          <xsd:enumeration value="Bessemer"/>
          <xsd:enumeration value="Biochemistry"/>
          <xsd:enumeration value="Blackett"/>
          <xsd:enumeration value="Bone"/>
          <xsd:enumeration value="Business School"/>
          <xsd:enumeration value="Chemistry Building"/>
          <xsd:enumeration value="Eastside"/>
          <xsd:enumeration value="Electrical Engineering"/>
          <xsd:enumeration value="Ethos"/>
          <xsd:enumeration value="Faculty Building"/>
          <xsd:enumeration value="Flowers"/>
          <xsd:enumeration value="Garden Hall"/>
          <xsd:enumeration value="Health Centre"/>
          <xsd:enumeration value="Huxley"/>
          <xsd:enumeration value="Huxley Undercroft Wolfson Foundation Lab"/>
          <xsd:enumeration value="Library"/>
          <xsd:enumeration value="Mech Eng"/>
          <xsd:enumeration value="RCS1"/>
          <xsd:enumeration value="Roderic Hill"/>
          <xsd:enumeration value="RSM/Aston Web/Goldsmith"/>
          <xsd:enumeration value="Sherfield"/>
          <xsd:enumeration value="Sir Alexander Fleming"/>
          <xsd:enumeration value="Skempton"/>
          <xsd:enumeration value="Southside"/>
          <xsd:enumeration value="Southwell"/>
          <xsd:enumeration value="Student Union Bookshop"/>
          <xsd:enumeration value="Weeks Hall"/>
          <xsd:enumeration value="William Penny Lab"/>
          <xsd:enumeration value="Evelyn Gardens"/>
          <xsd:enumeration value="Bernard Sunley House"/>
          <xsd:enumeration value="Fishers Hall"/>
          <xsd:enumeration value="Holbein Hall"/>
          <xsd:enumeration value="Willis Jackson Hall"/>
          <xsd:enumeration value="HAMMERSMITH"/>
          <xsd:enumeration value="B Block"/>
          <xsd:enumeration value="Burlington Danes East Lab"/>
          <xsd:enumeration value="Burlington Danes Energy Centre"/>
          <xsd:enumeration value="Burlington Danes West Lab"/>
          <xsd:enumeration value="Clinical Research"/>
          <xsd:enumeration value="Collier Building"/>
          <xsd:enumeration value="Commonwealth Building"/>
          <xsd:enumeration value="Francis Fraser"/>
          <xsd:enumeration value="IRDB"/>
          <xsd:enumeration value="J Block"/>
          <xsd:enumeration value="L Block"/>
          <xsd:enumeration value="Lower Medical Corridor"/>
          <xsd:enumeration value="MRC Annex"/>
          <xsd:enumeration value="MRC Cyclotron"/>
          <xsd:enumeration value="Neptune"/>
          <xsd:enumeration value="Robert Steiner"/>
          <xsd:enumeration value="U Block"/>
          <xsd:enumeration value="ROYAL BROMPTON"/>
          <xsd:enumeration value="EKB"/>
          <xsd:enumeration value="Guy Scadding"/>
          <xsd:enumeration value="Charing Cross"/>
          <xsd:enumeration value="Glenister"/>
          <xsd:enumeration value="Reynolds"/>
          <xsd:enumeration value="St. Mary’s"/>
          <xsd:enumeration value="Medical School"/>
          <xsd:enumeration value="SILWOOD"/>
          <xsd:enumeration value="Biology Store"/>
          <xsd:enumeration value="Brian Flowers"/>
          <xsd:enumeration value="Civil Engineering Store"/>
          <xsd:enumeration value="CPB"/>
          <xsd:enumeration value="Drive Field Lab"/>
          <xsd:enumeration value="EAS Building"/>
          <xsd:enumeration value="East Lodge"/>
          <xsd:enumeration value="Farm"/>
          <xsd:enumeration value="Maintenance Workshop"/>
          <xsd:enumeration value="LEES Building"/>
          <xsd:enumeration value="Munro Building"/>
          <xsd:enumeration value="Gardenwood South"/>
          <xsd:enumeration value="Kennedy"/>
          <xsd:enumeration value="Greenhouses"/>
          <xsd:enumeration value="Gym"/>
          <xsd:enumeration value="Insectary"/>
          <xsd:enumeration value="IPARC"/>
          <xsd:enumeration value="John Smith"/>
          <xsd:enumeration value="M Scan"/>
          <xsd:enumeration value="Manor House"/>
          <xsd:enumeration value="Mary Flowers"/>
          <xsd:enumeration value="Nursery Buildings"/>
          <xsd:enumeration value="Reactor Centre"/>
          <xsd:enumeration value="Refectory"/>
          <xsd:enumeration value="Rectory Bungalow"/>
          <xsd:enumeration value="Residential Hut 4"/>
          <xsd:enumeration value="Security Gatehouse"/>
          <xsd:enumeration value="Silwood Business Centre"/>
          <xsd:enumeration value="Silwood Lodge"/>
          <xsd:enumeration value="South Lodge"/>
          <xsd:enumeration value="Southwood 1"/>
          <xsd:enumeration value="Southwood 2"/>
          <xsd:enumeration value="Southwood 3"/>
          <xsd:enumeration value="SPARS"/>
          <xsd:enumeration value="Stable Yard"/>
          <xsd:enumeration value="Tractor Sheds"/>
          <xsd:enumeration value="Virginia Water Lodge"/>
          <xsd:enumeration value="Visitors Lodge"/>
          <xsd:enumeration value="William Penney"/>
          <xsd:enumeration value="Hamilton"/>
        </xsd:restriction>
      </xsd:simpleType>
    </xsd:element>
    <xsd:element name="Document_x0020_Type" ma:index="11" nillable="true" ma:displayName="Document Type" ma:internalName="Document_x0020_Type2">
      <xsd:simpleType>
        <xsd:restriction base="dms:Text">
          <xsd:maxLength value="255"/>
        </xsd:restriction>
      </xsd:simpleType>
    </xsd:element>
    <xsd:element name="Year" ma:index="12" nillable="true" ma:displayName="Year" ma:internalName="Year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fb9ad-7fde-4720-8c84-b4c35ec43a53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ilding_x0020_Name xmlns="4de24acf-c24c-432d-968a-cf3ade046b87" xsi:nil="true"/>
    <Campus_x0020_Name xmlns="4de24acf-c24c-432d-968a-cf3ade046b87"/>
    <Year xmlns="4de24acf-c24c-432d-968a-cf3ade046b87" xsi:nil="true"/>
    <Faculty_x0020_Name xmlns="4de24acf-c24c-432d-968a-cf3ade046b87"/>
    <Document_x0020_Type xmlns="4de24acf-c24c-432d-968a-cf3ade046b87" xsi:nil="true"/>
    <_dlc_DocId xmlns="978fb9ad-7fde-4720-8c84-b4c35ec43a53">PHV3N6P4EV57-8118-1752</_dlc_DocId>
    <_dlc_DocIdUrl xmlns="978fb9ad-7fde-4720-8c84-b4c35ec43a53">
      <Url>https://share.imperial.ac.uk/services/risk/DR/_layouts/DocIdRedir.aspx?ID=PHV3N6P4EV57-8118-1752</Url>
      <Description>PHV3N6P4EV57-8118-1752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5BB67-353B-4DA9-99B6-2B19FFFBCF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24acf-c24c-432d-968a-cf3ade046b87"/>
    <ds:schemaRef ds:uri="978fb9ad-7fde-4720-8c84-b4c35ec43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B88C1B-5DE0-48C0-BFF1-014F4F8119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0618AAD-35D4-4BA5-8854-52F363F6CD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815DE7-A883-497F-A700-48E2927DC5F3}">
  <ds:schemaRefs>
    <ds:schemaRef ds:uri="http://schemas.microsoft.com/office/2006/metadata/properties"/>
    <ds:schemaRef ds:uri="http://schemas.microsoft.com/office/infopath/2007/PartnerControls"/>
    <ds:schemaRef ds:uri="4de24acf-c24c-432d-968a-cf3ade046b87"/>
    <ds:schemaRef ds:uri="978fb9ad-7fde-4720-8c84-b4c35ec43a53"/>
  </ds:schemaRefs>
</ds:datastoreItem>
</file>

<file path=customXml/itemProps5.xml><?xml version="1.0" encoding="utf-8"?>
<ds:datastoreItem xmlns:ds="http://schemas.openxmlformats.org/officeDocument/2006/customXml" ds:itemID="{84E60D50-BD61-4A32-85B1-96DFFDC75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Kay, Nick</dc:creator>
  <cp:lastModifiedBy>Kay, Nick</cp:lastModifiedBy>
  <cp:revision>2</cp:revision>
  <cp:lastPrinted>2014-06-25T12:55:00Z</cp:lastPrinted>
  <dcterms:created xsi:type="dcterms:W3CDTF">2015-06-11T11:11:00Z</dcterms:created>
  <dcterms:modified xsi:type="dcterms:W3CDTF">2015-06-11T11:11:00Z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0x010100B5F11B951D482B4189569C9B24F4301B00ECEA6A038788CC44A79AD10DCE1ABA66</vt:lpwstr>
  </property>
  <property fmtid="{D5CDD505-2E9C-101B-9397-08002B2CF9AE}" pid="3" name="_dlc_DocIdItemGuid">
    <vt:lpwstr>675567f5-b46d-4580-9509-b82347b8192c</vt:lpwstr>
  </property>
</Properties>
</file>