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FF602" w14:textId="76F4C17D" w:rsidR="008C222E" w:rsidRPr="00542C27" w:rsidRDefault="008C222E" w:rsidP="00542C27">
      <w:pPr>
        <w:jc w:val="center"/>
        <w:rPr>
          <w:b/>
        </w:rPr>
      </w:pPr>
      <w:r w:rsidRPr="00542C27">
        <w:rPr>
          <w:b/>
        </w:rPr>
        <w:t>MUSE-SGI</w:t>
      </w:r>
      <w:r w:rsidR="00542C27" w:rsidRPr="00542C27">
        <w:rPr>
          <w:b/>
        </w:rPr>
        <w:t xml:space="preserve"> </w:t>
      </w:r>
      <w:r w:rsidR="00CC6FC1">
        <w:rPr>
          <w:b/>
        </w:rPr>
        <w:t>Non-</w:t>
      </w:r>
      <w:r w:rsidR="00720E6B">
        <w:rPr>
          <w:b/>
        </w:rPr>
        <w:t>Technical</w:t>
      </w:r>
      <w:r w:rsidR="00CC6FC1">
        <w:rPr>
          <w:b/>
        </w:rPr>
        <w:t xml:space="preserve"> </w:t>
      </w:r>
      <w:r w:rsidR="00720E6B">
        <w:rPr>
          <w:b/>
        </w:rPr>
        <w:t>Overview</w:t>
      </w:r>
    </w:p>
    <w:p w14:paraId="33FC2426" w14:textId="34C5AFA6" w:rsidR="008C222E" w:rsidRDefault="00056E2A" w:rsidP="00542C27">
      <w:pPr>
        <w:jc w:val="center"/>
        <w:rPr>
          <w:b/>
        </w:rPr>
      </w:pPr>
      <w:r>
        <w:rPr>
          <w:b/>
        </w:rPr>
        <w:t>Residential</w:t>
      </w:r>
      <w:r w:rsidR="000E28BA">
        <w:rPr>
          <w:b/>
        </w:rPr>
        <w:t xml:space="preserve"> and Commercial </w:t>
      </w:r>
      <w:r>
        <w:rPr>
          <w:b/>
        </w:rPr>
        <w:t xml:space="preserve">Building </w:t>
      </w:r>
      <w:r w:rsidR="00756CD1">
        <w:rPr>
          <w:b/>
        </w:rPr>
        <w:t>Sector</w:t>
      </w:r>
      <w:r w:rsidR="008C222E" w:rsidRPr="00542C27">
        <w:rPr>
          <w:b/>
        </w:rPr>
        <w:t xml:space="preserve"> Module</w:t>
      </w:r>
    </w:p>
    <w:p w14:paraId="6B03A5C9" w14:textId="16C69EBA" w:rsidR="008C222E" w:rsidRDefault="00CB3911" w:rsidP="008C222E">
      <w:pPr>
        <w:pStyle w:val="Heading1"/>
      </w:pPr>
      <w:r>
        <w:t>Context</w:t>
      </w:r>
    </w:p>
    <w:p w14:paraId="155511DC" w14:textId="77777777" w:rsidR="00CC008C" w:rsidRDefault="00612391" w:rsidP="00612391">
      <w:r w:rsidRPr="00612391">
        <w:t>Buildings</w:t>
      </w:r>
      <w:r>
        <w:t xml:space="preserve"> </w:t>
      </w:r>
      <w:r w:rsidRPr="00612391">
        <w:t>account for almost a third of final energy consumption globally and are an equally importa</w:t>
      </w:r>
      <w:r w:rsidR="00CC008C">
        <w:t>nt source of CO2 emissions [1].</w:t>
      </w:r>
    </w:p>
    <w:p w14:paraId="6C8601B2" w14:textId="2A5E7ADD" w:rsidR="00A05764" w:rsidRDefault="00E049F3" w:rsidP="00612391">
      <w:r>
        <w:t>There are significant opportunities and challenges to decarbonise this sector. For example, h</w:t>
      </w:r>
      <w:r w:rsidRPr="00612391">
        <w:t xml:space="preserve">eating end-uses are </w:t>
      </w:r>
      <w:r>
        <w:t xml:space="preserve">highly reliant on </w:t>
      </w:r>
      <w:r w:rsidRPr="00612391">
        <w:t>fossil fuels</w:t>
      </w:r>
      <w:r w:rsidR="00563825">
        <w:t xml:space="preserve"> </w:t>
      </w:r>
      <w:r>
        <w:t>while</w:t>
      </w:r>
      <w:r w:rsidR="00BB43E8">
        <w:t xml:space="preserve"> the cooling demand </w:t>
      </w:r>
      <w:r w:rsidR="00BB43E8" w:rsidRPr="00BB43E8">
        <w:t xml:space="preserve">is growing rapidly both in </w:t>
      </w:r>
      <w:r w:rsidR="00563825">
        <w:t>OECD</w:t>
      </w:r>
      <w:r w:rsidR="00BB43E8" w:rsidRPr="00BB43E8">
        <w:t xml:space="preserve"> and in emerging </w:t>
      </w:r>
      <w:r w:rsidR="00563825">
        <w:t>countries</w:t>
      </w:r>
      <w:r w:rsidR="00CC008C">
        <w:t xml:space="preserve"> with </w:t>
      </w:r>
      <w:r w:rsidR="00563825">
        <w:t>highly</w:t>
      </w:r>
      <w:r w:rsidR="00BB43E8">
        <w:t xml:space="preserve"> </w:t>
      </w:r>
      <w:r w:rsidR="00BB43E8" w:rsidRPr="00BB43E8">
        <w:t>carbon-intensive electricity systems</w:t>
      </w:r>
      <w:r w:rsidR="00CC008C">
        <w:t xml:space="preserve"> </w:t>
      </w:r>
      <w:r w:rsidR="00CC008C">
        <w:t>(e.g.</w:t>
      </w:r>
      <w:r w:rsidR="00CC008C" w:rsidRPr="00BB43E8">
        <w:t xml:space="preserve"> India and China</w:t>
      </w:r>
      <w:r w:rsidR="00CC008C">
        <w:t>)</w:t>
      </w:r>
      <w:r w:rsidR="00BB43E8" w:rsidRPr="00BB43E8">
        <w:t>.</w:t>
      </w:r>
    </w:p>
    <w:p w14:paraId="004F0AA9" w14:textId="4BE10F4A" w:rsidR="00612391" w:rsidRPr="00612391" w:rsidRDefault="00612391" w:rsidP="00612391">
      <w:r w:rsidRPr="00612391">
        <w:t xml:space="preserve">Recent major advances in building design, </w:t>
      </w:r>
      <w:proofErr w:type="gramStart"/>
      <w:r w:rsidRPr="00612391">
        <w:t>know-how</w:t>
      </w:r>
      <w:proofErr w:type="gramEnd"/>
      <w:r w:rsidRPr="00612391">
        <w:t xml:space="preserve">, technology, and policy have made it possible for global building energy use to decline significantly [2]. </w:t>
      </w:r>
      <w:r w:rsidR="00363DFD">
        <w:t>However, in view of t</w:t>
      </w:r>
      <w:r w:rsidR="00563825">
        <w:t xml:space="preserve">he increasing </w:t>
      </w:r>
      <w:r w:rsidRPr="00612391">
        <w:t>energy demand in the building sector</w:t>
      </w:r>
      <w:r w:rsidR="00363DFD">
        <w:t>,</w:t>
      </w:r>
      <w:r w:rsidRPr="00612391">
        <w:t xml:space="preserve"> </w:t>
      </w:r>
      <w:r w:rsidR="00563825">
        <w:t xml:space="preserve">technology innovation and spread </w:t>
      </w:r>
      <w:r w:rsidRPr="00612391">
        <w:t xml:space="preserve">of renewables </w:t>
      </w:r>
      <w:r w:rsidR="00363DFD">
        <w:t>will be necessary</w:t>
      </w:r>
      <w:r w:rsidR="0035794E">
        <w:t xml:space="preserve"> to achieve a low</w:t>
      </w:r>
      <w:r w:rsidR="00563825">
        <w:t>-</w:t>
      </w:r>
      <w:r w:rsidR="0035794E">
        <w:t xml:space="preserve">level energy performance </w:t>
      </w:r>
      <w:r w:rsidRPr="00612391">
        <w:t>[2].</w:t>
      </w:r>
      <w:r w:rsidR="00BB43E8">
        <w:t xml:space="preserve"> </w:t>
      </w:r>
    </w:p>
    <w:p w14:paraId="421BE821" w14:textId="019BBD91" w:rsidR="00846828" w:rsidRDefault="00ED6AB3" w:rsidP="001A61D5">
      <w:pPr>
        <w:pStyle w:val="Heading1"/>
      </w:pPr>
      <w:r>
        <w:t>Problem Statement</w:t>
      </w:r>
    </w:p>
    <w:p w14:paraId="0EDD584A" w14:textId="14687B1C" w:rsidR="00CD6E5A" w:rsidRDefault="00CE5F76" w:rsidP="0020695C">
      <w:pPr>
        <w:rPr>
          <w:rFonts w:cs="CMR10"/>
          <w:color w:val="000000"/>
          <w:sz w:val="20"/>
          <w:szCs w:val="20"/>
        </w:rPr>
      </w:pPr>
      <w:r>
        <w:t xml:space="preserve">The </w:t>
      </w:r>
      <w:r w:rsidR="00056E2A">
        <w:t xml:space="preserve">residential and commercial </w:t>
      </w:r>
      <w:r>
        <w:t>building sector mod</w:t>
      </w:r>
      <w:r w:rsidR="00535401">
        <w:t>ule</w:t>
      </w:r>
      <w:r>
        <w:t xml:space="preserve">, </w:t>
      </w:r>
      <w:r w:rsidR="00056E2A">
        <w:t>RCBSM</w:t>
      </w:r>
      <w:r>
        <w:t>, includes residential as well as commercial buildings</w:t>
      </w:r>
      <w:r w:rsidR="00535401">
        <w:t>. It</w:t>
      </w:r>
      <w:r>
        <w:t xml:space="preserve"> </w:t>
      </w:r>
      <w:proofErr w:type="gramStart"/>
      <w:r>
        <w:t>is designed</w:t>
      </w:r>
      <w:proofErr w:type="gramEnd"/>
      <w:r>
        <w:t xml:space="preserve"> to </w:t>
      </w:r>
      <w:r w:rsidR="00535401">
        <w:t xml:space="preserve">estimate </w:t>
      </w:r>
      <w:r>
        <w:t xml:space="preserve">the energy </w:t>
      </w:r>
      <w:r w:rsidR="00535401">
        <w:t xml:space="preserve">service </w:t>
      </w:r>
      <w:r>
        <w:t xml:space="preserve">demand </w:t>
      </w:r>
      <w:r w:rsidR="00535401">
        <w:t>due to households and services</w:t>
      </w:r>
      <w:r w:rsidR="008F6521">
        <w:t xml:space="preserve"> based on key macro</w:t>
      </w:r>
      <w:r w:rsidR="00535401">
        <w:t xml:space="preserve">economic </w:t>
      </w:r>
      <w:r w:rsidR="00CC008C">
        <w:t>driver</w:t>
      </w:r>
      <w:r w:rsidR="00535401">
        <w:t xml:space="preserve"> projections. </w:t>
      </w:r>
      <w:r w:rsidR="00363DFD">
        <w:t>Furthermore</w:t>
      </w:r>
      <w:r w:rsidR="00535401">
        <w:t>, it</w:t>
      </w:r>
      <w:r w:rsidR="008F6521">
        <w:t xml:space="preserve"> </w:t>
      </w:r>
      <w:r w:rsidR="00535401">
        <w:t xml:space="preserve">simulates </w:t>
      </w:r>
      <w:r w:rsidR="008F6521">
        <w:t xml:space="preserve">technology investment decisions and </w:t>
      </w:r>
      <w:r w:rsidR="00535401">
        <w:t>determines</w:t>
      </w:r>
      <w:r w:rsidR="008F6521">
        <w:t xml:space="preserve"> the demand of fuels</w:t>
      </w:r>
      <w:r w:rsidR="00363DFD">
        <w:t xml:space="preserve"> on a global scale,</w:t>
      </w:r>
      <w:r w:rsidR="008F6521" w:rsidRPr="00132BBF">
        <w:t xml:space="preserve"> disaggregated into regions and temporally resolved into </w:t>
      </w:r>
      <w:proofErr w:type="spellStart"/>
      <w:r w:rsidR="008F6521" w:rsidRPr="00132BBF">
        <w:t>timeslices</w:t>
      </w:r>
      <w:proofErr w:type="spellEnd"/>
      <w:r w:rsidR="00E049F3">
        <w:t xml:space="preserve"> to fulfil the energy services</w:t>
      </w:r>
      <w:r w:rsidR="008F6521" w:rsidRPr="00132BBF">
        <w:t>.</w:t>
      </w:r>
      <w:r w:rsidR="008F6521">
        <w:t xml:space="preserve"> </w:t>
      </w:r>
      <w:r w:rsidR="00CD6E5A">
        <w:t>For an accurate modelling of t</w:t>
      </w:r>
      <w:r w:rsidR="008F6521">
        <w:t xml:space="preserve">he </w:t>
      </w:r>
      <w:r w:rsidR="00CD6E5A">
        <w:t xml:space="preserve">technology choice for new investments, a realistic consumers’ behaviour towards </w:t>
      </w:r>
      <w:r w:rsidR="00CD6E5A" w:rsidRPr="00A83B20">
        <w:t xml:space="preserve">technological change needs to be included </w:t>
      </w:r>
      <w:r w:rsidR="00CD6E5A">
        <w:t>to simulate real-world decision-making</w:t>
      </w:r>
      <w:r w:rsidR="00CD6E5A" w:rsidRPr="00A83B20">
        <w:t xml:space="preserve">. Therefore, the </w:t>
      </w:r>
      <w:r w:rsidR="00056E2A">
        <w:t>RCBSM</w:t>
      </w:r>
      <w:r w:rsidR="00CD6E5A" w:rsidRPr="00A83B20">
        <w:t xml:space="preserve"> needs to be technology-rich as well as appropriately informed with the macro</w:t>
      </w:r>
      <w:r w:rsidR="00363DFD">
        <w:t xml:space="preserve">economic </w:t>
      </w:r>
      <w:r w:rsidR="00CD6E5A" w:rsidRPr="00A83B20">
        <w:t xml:space="preserve">drivers which best represent the trend of energy service demand on a regional scale. It </w:t>
      </w:r>
      <w:r w:rsidR="00CD6E5A">
        <w:t>uses a</w:t>
      </w:r>
      <w:r w:rsidR="00CD6E5A" w:rsidRPr="00132BBF">
        <w:t xml:space="preserve"> bottom-up </w:t>
      </w:r>
      <w:r w:rsidR="00CD6E5A">
        <w:t xml:space="preserve">approach </w:t>
      </w:r>
      <w:r w:rsidR="00CD6E5A" w:rsidRPr="00132BBF">
        <w:t xml:space="preserve">to </w:t>
      </w:r>
      <w:r w:rsidR="00363DFD">
        <w:t xml:space="preserve">model technologies on both </w:t>
      </w:r>
      <w:proofErr w:type="spellStart"/>
      <w:r w:rsidR="00363DFD">
        <w:t>technoeconomic</w:t>
      </w:r>
      <w:proofErr w:type="spellEnd"/>
      <w:r w:rsidR="00363DFD">
        <w:t xml:space="preserve"> and environmental aspects.</w:t>
      </w:r>
    </w:p>
    <w:p w14:paraId="2E07BA75" w14:textId="24FC9C93" w:rsidR="00D611AA" w:rsidRDefault="00D611AA" w:rsidP="00D611AA">
      <w:pPr>
        <w:pStyle w:val="Heading1"/>
      </w:pPr>
      <w:r>
        <w:t>Module Approach</w:t>
      </w:r>
    </w:p>
    <w:p w14:paraId="406DFC6C" w14:textId="721313BF" w:rsidR="00CB0BB2" w:rsidRDefault="00132BBF" w:rsidP="0020695C">
      <w:pPr>
        <w:autoSpaceDE w:val="0"/>
        <w:autoSpaceDN w:val="0"/>
        <w:adjustRightInd w:val="0"/>
      </w:pPr>
      <w:r w:rsidRPr="00132BBF">
        <w:t xml:space="preserve">The </w:t>
      </w:r>
      <w:r w:rsidR="00056E2A">
        <w:t>RCBSM</w:t>
      </w:r>
      <w:r w:rsidRPr="00132BBF">
        <w:t xml:space="preserve"> </w:t>
      </w:r>
      <w:r w:rsidR="00A83B20" w:rsidRPr="00A83B20">
        <w:t xml:space="preserve">is a </w:t>
      </w:r>
      <w:r w:rsidR="00363DFD">
        <w:t xml:space="preserve">global </w:t>
      </w:r>
      <w:r w:rsidR="00A83B20" w:rsidRPr="00A83B20">
        <w:t xml:space="preserve">simulation model </w:t>
      </w:r>
      <w:r w:rsidR="00A83B20">
        <w:t>with the aim to predict the future end-use demand, to determine the required fuel demand and to model investment decisions to represent</w:t>
      </w:r>
      <w:r w:rsidR="00A83B20" w:rsidRPr="00132BBF">
        <w:t xml:space="preserve"> real </w:t>
      </w:r>
      <w:r w:rsidR="00A83B20">
        <w:t>consumers</w:t>
      </w:r>
      <w:r w:rsidR="00A83B20" w:rsidRPr="00132BBF">
        <w:t>' behaviour in the market.</w:t>
      </w:r>
      <w:r w:rsidR="00A83B20">
        <w:t xml:space="preserve"> </w:t>
      </w:r>
      <w:r w:rsidR="00CB0BB2">
        <w:t>T</w:t>
      </w:r>
      <w:r w:rsidR="00092CE5">
        <w:t xml:space="preserve">he </w:t>
      </w:r>
      <w:r w:rsidR="00B37B4E">
        <w:t xml:space="preserve">energy </w:t>
      </w:r>
      <w:r w:rsidR="00092CE5">
        <w:t xml:space="preserve">demand </w:t>
      </w:r>
      <w:r w:rsidR="00CB0BB2">
        <w:t xml:space="preserve">of the sector </w:t>
      </w:r>
      <w:proofErr w:type="gramStart"/>
      <w:r w:rsidR="00B37B4E">
        <w:t xml:space="preserve">is </w:t>
      </w:r>
      <w:r w:rsidR="00CB0BB2" w:rsidRPr="00B37B4E">
        <w:t>di</w:t>
      </w:r>
      <w:r w:rsidR="00CB0BB2">
        <w:t>saggregated</w:t>
      </w:r>
      <w:proofErr w:type="gramEnd"/>
      <w:r w:rsidR="00CB0BB2" w:rsidRPr="00B37B4E">
        <w:t xml:space="preserve"> </w:t>
      </w:r>
      <w:r w:rsidR="00B37B4E" w:rsidRPr="00B37B4E">
        <w:t xml:space="preserve">in different end-uses </w:t>
      </w:r>
      <w:r w:rsidR="00CB0BB2">
        <w:t>such</w:t>
      </w:r>
      <w:r w:rsidR="00B37B4E" w:rsidRPr="00B37B4E">
        <w:t xml:space="preserve"> as lighting, appliances, cooking, space heating, water heating, cooling, and cooking. The </w:t>
      </w:r>
      <w:r w:rsidR="00391E10">
        <w:t>projections</w:t>
      </w:r>
      <w:r w:rsidR="00CB0BB2">
        <w:t xml:space="preserve"> for</w:t>
      </w:r>
      <w:r w:rsidR="00B37B4E">
        <w:t xml:space="preserve"> these </w:t>
      </w:r>
      <w:r w:rsidR="00CB0BB2">
        <w:t xml:space="preserve">energy </w:t>
      </w:r>
      <w:r w:rsidR="00B37B4E">
        <w:t xml:space="preserve">end-uses </w:t>
      </w:r>
      <w:proofErr w:type="gramStart"/>
      <w:r w:rsidR="000E28BA">
        <w:t>are</w:t>
      </w:r>
      <w:r w:rsidR="00CB0BB2">
        <w:t xml:space="preserve"> carried out</w:t>
      </w:r>
      <w:proofErr w:type="gramEnd"/>
      <w:r w:rsidR="00CB0BB2">
        <w:t xml:space="preserve"> </w:t>
      </w:r>
      <w:r w:rsidR="00092CE5">
        <w:t>on</w:t>
      </w:r>
      <w:r w:rsidR="00CB0BB2">
        <w:t xml:space="preserve"> </w:t>
      </w:r>
      <w:r w:rsidR="00CB0BB2" w:rsidRPr="00B37B4E">
        <w:t>a global scale</w:t>
      </w:r>
      <w:r w:rsidR="00CB0BB2">
        <w:t xml:space="preserve"> </w:t>
      </w:r>
      <w:r w:rsidR="00CB0BB2" w:rsidRPr="00B37B4E">
        <w:t xml:space="preserve">using a </w:t>
      </w:r>
      <w:r w:rsidR="00CC008C">
        <w:t xml:space="preserve">regional disaggregation into </w:t>
      </w:r>
      <w:r w:rsidR="00CB0BB2" w:rsidRPr="00B37B4E">
        <w:t>regions</w:t>
      </w:r>
      <w:r w:rsidR="00CB0BB2">
        <w:t xml:space="preserve"> and </w:t>
      </w:r>
      <w:r w:rsidR="00092CE5">
        <w:t>a time series of macro</w:t>
      </w:r>
      <w:r w:rsidR="00CB0BB2">
        <w:t xml:space="preserve">economic </w:t>
      </w:r>
      <w:r w:rsidR="00092CE5">
        <w:t>drivers</w:t>
      </w:r>
      <w:r w:rsidRPr="00132BBF">
        <w:t>.</w:t>
      </w:r>
    </w:p>
    <w:p w14:paraId="25FEDE6B" w14:textId="0978D7E2" w:rsidR="00753277" w:rsidRDefault="00B37B4E" w:rsidP="0020695C">
      <w:pPr>
        <w:autoSpaceDE w:val="0"/>
        <w:autoSpaceDN w:val="0"/>
        <w:adjustRightInd w:val="0"/>
        <w:rPr>
          <w:rFonts w:cs="CMR10"/>
          <w:color w:val="000000"/>
          <w:sz w:val="20"/>
          <w:szCs w:val="20"/>
        </w:rPr>
      </w:pPr>
      <w:r w:rsidRPr="00F9786E">
        <w:t xml:space="preserve">The </w:t>
      </w:r>
      <w:r w:rsidR="00056E2A">
        <w:t>RCBSM</w:t>
      </w:r>
      <w:r w:rsidRPr="00F9786E">
        <w:t xml:space="preserve"> </w:t>
      </w:r>
      <w:proofErr w:type="gramStart"/>
      <w:r w:rsidRPr="00132BBF">
        <w:t>is based</w:t>
      </w:r>
      <w:proofErr w:type="gramEnd"/>
      <w:r w:rsidRPr="00132BBF">
        <w:t xml:space="preserve"> on a two-step simulation approach</w:t>
      </w:r>
      <w:r w:rsidRPr="00F9786E">
        <w:t xml:space="preserve">. First, the </w:t>
      </w:r>
      <w:r w:rsidR="00CB0BB2">
        <w:t>s</w:t>
      </w:r>
      <w:r w:rsidR="00CC008C">
        <w:t>ervice</w:t>
      </w:r>
      <w:r w:rsidR="00CB0BB2">
        <w:t xml:space="preserve"> </w:t>
      </w:r>
      <w:r w:rsidRPr="00F9786E">
        <w:t xml:space="preserve">demand </w:t>
      </w:r>
      <w:proofErr w:type="gramStart"/>
      <w:r w:rsidRPr="00F9786E">
        <w:t>is dynamically calculated</w:t>
      </w:r>
      <w:proofErr w:type="gramEnd"/>
      <w:r w:rsidRPr="00F9786E">
        <w:t xml:space="preserve"> using macro</w:t>
      </w:r>
      <w:r w:rsidR="00CB0BB2">
        <w:t xml:space="preserve">economic </w:t>
      </w:r>
      <w:r w:rsidRPr="00F9786E">
        <w:t>drivers. Then a</w:t>
      </w:r>
      <w:r w:rsidRPr="00132BBF">
        <w:t xml:space="preserve"> merit-order approach based on </w:t>
      </w:r>
      <w:r w:rsidR="00F9786E">
        <w:t xml:space="preserve">equivalent annual cost </w:t>
      </w:r>
      <w:proofErr w:type="gramStart"/>
      <w:r w:rsidR="00F9786E">
        <w:t>is</w:t>
      </w:r>
      <w:r w:rsidR="000E28BA">
        <w:t xml:space="preserve"> </w:t>
      </w:r>
      <w:r w:rsidR="00F9786E">
        <w:t>used</w:t>
      </w:r>
      <w:proofErr w:type="gramEnd"/>
      <w:r w:rsidR="00F9786E">
        <w:t xml:space="preserve"> to </w:t>
      </w:r>
      <w:r w:rsidRPr="00F9786E">
        <w:t xml:space="preserve">determine the technology market share, and the </w:t>
      </w:r>
      <w:r w:rsidR="00391E10">
        <w:t xml:space="preserve">corresponding </w:t>
      </w:r>
      <w:r w:rsidRPr="00F9786E">
        <w:t>fuel mix.</w:t>
      </w:r>
      <w:r w:rsidR="000E28BA">
        <w:t xml:space="preserve"> </w:t>
      </w:r>
      <w:r w:rsidR="00834338">
        <w:t xml:space="preserve">Among the factors that also play an important role in the investments made in this sector, are </w:t>
      </w:r>
      <w:r w:rsidR="00F9786E" w:rsidRPr="00F9786E">
        <w:t xml:space="preserve">the fuel mix of the already installed equipment in a household or the maturity of the technology. </w:t>
      </w:r>
      <w:r w:rsidR="00C9210A" w:rsidRPr="00753277">
        <w:t xml:space="preserve">In order to </w:t>
      </w:r>
      <w:r w:rsidR="00834338">
        <w:t xml:space="preserve">take people’s attitude towards technologies </w:t>
      </w:r>
      <w:r w:rsidR="00834338" w:rsidRPr="00753277">
        <w:t>and technological changes</w:t>
      </w:r>
      <w:r w:rsidR="000E28BA">
        <w:t xml:space="preserve"> into account</w:t>
      </w:r>
      <w:r w:rsidR="00753277">
        <w:t xml:space="preserve"> </w:t>
      </w:r>
      <w:r w:rsidR="00834338">
        <w:t xml:space="preserve">as well as </w:t>
      </w:r>
      <w:r w:rsidRPr="00753277">
        <w:t>the e</w:t>
      </w:r>
      <w:r w:rsidR="00F9786E" w:rsidRPr="00753277">
        <w:t>ff</w:t>
      </w:r>
      <w:r w:rsidRPr="00753277">
        <w:t xml:space="preserve">ects of policy, the </w:t>
      </w:r>
      <w:r w:rsidR="00056E2A">
        <w:t>RCBSM</w:t>
      </w:r>
      <w:r w:rsidRPr="00753277">
        <w:t xml:space="preserve"> applies a bottom-up approach to the technology characterization, based on unit technology cost, e</w:t>
      </w:r>
      <w:r w:rsidR="00753277" w:rsidRPr="00753277">
        <w:t>ff</w:t>
      </w:r>
      <w:r w:rsidR="00CB0BB2">
        <w:t>i</w:t>
      </w:r>
      <w:r w:rsidRPr="00753277">
        <w:t>ciencies, lifetime as</w:t>
      </w:r>
      <w:r w:rsidR="00753277" w:rsidRPr="00753277">
        <w:t xml:space="preserve"> </w:t>
      </w:r>
      <w:r w:rsidRPr="00753277">
        <w:t>well as emissions.</w:t>
      </w:r>
      <w:r w:rsidRPr="00FE15C9">
        <w:rPr>
          <w:rFonts w:cs="CMR10"/>
          <w:color w:val="000000"/>
          <w:sz w:val="20"/>
          <w:szCs w:val="20"/>
        </w:rPr>
        <w:t xml:space="preserve"> </w:t>
      </w:r>
    </w:p>
    <w:p w14:paraId="3032A176" w14:textId="7DA6E9D5" w:rsidR="008C222E" w:rsidRDefault="008C222E" w:rsidP="008C222E">
      <w:pPr>
        <w:pStyle w:val="Heading1"/>
      </w:pPr>
      <w:r>
        <w:lastRenderedPageBreak/>
        <w:t>Relationship with MUSE Modules</w:t>
      </w:r>
    </w:p>
    <w:p w14:paraId="593C520E" w14:textId="4CE186C9" w:rsidR="00391E10" w:rsidRDefault="00132BBF" w:rsidP="00DD6AE1">
      <w:r w:rsidRPr="00132BBF">
        <w:t xml:space="preserve">The </w:t>
      </w:r>
      <w:r w:rsidR="00391E10">
        <w:t>RCM</w:t>
      </w:r>
      <w:r w:rsidRPr="00132BBF">
        <w:t xml:space="preserve"> module dynamically exchanges a set of variables with the Market Clearing Algorithm (</w:t>
      </w:r>
      <w:r w:rsidR="00F27088">
        <w:t>MCA</w:t>
      </w:r>
      <w:r w:rsidRPr="00132BBF">
        <w:t xml:space="preserve">) in MUSE to determine the </w:t>
      </w:r>
      <w:r w:rsidR="00753277">
        <w:t>fuel demand</w:t>
      </w:r>
      <w:r w:rsidRPr="00132BBF">
        <w:t xml:space="preserve"> in every modelled region</w:t>
      </w:r>
      <w:r w:rsidR="00886EC9">
        <w:t xml:space="preserve"> per </w:t>
      </w:r>
      <w:proofErr w:type="gramStart"/>
      <w:r w:rsidR="00886EC9">
        <w:t>time period</w:t>
      </w:r>
      <w:proofErr w:type="gramEnd"/>
      <w:r w:rsidR="00886EC9">
        <w:t xml:space="preserve"> and </w:t>
      </w:r>
      <w:proofErr w:type="spellStart"/>
      <w:r w:rsidR="00886EC9">
        <w:t>timeslice</w:t>
      </w:r>
      <w:proofErr w:type="spellEnd"/>
      <w:r w:rsidRPr="00132BBF">
        <w:t xml:space="preserve">. A snapshot of the data workflow for a generic iteration in a generic </w:t>
      </w:r>
      <w:proofErr w:type="gramStart"/>
      <w:r w:rsidRPr="00132BBF">
        <w:t>time period</w:t>
      </w:r>
      <w:proofErr w:type="gramEnd"/>
      <w:r w:rsidR="00886EC9">
        <w:t>,</w:t>
      </w:r>
      <w:r w:rsidRPr="00132BBF">
        <w:t xml:space="preserve"> </w:t>
      </w:r>
      <w:proofErr w:type="spellStart"/>
      <w:r w:rsidRPr="00132BBF">
        <w:t>timeslice</w:t>
      </w:r>
      <w:proofErr w:type="spellEnd"/>
      <w:r w:rsidRPr="00132BBF">
        <w:t xml:space="preserve"> </w:t>
      </w:r>
      <w:r w:rsidR="00886EC9">
        <w:t xml:space="preserve">and region </w:t>
      </w:r>
      <w:r w:rsidRPr="00132BBF">
        <w:t xml:space="preserve">is shown in Figure </w:t>
      </w:r>
      <w:r w:rsidR="00F27088">
        <w:t>1.</w:t>
      </w:r>
    </w:p>
    <w:p w14:paraId="11F10E46" w14:textId="3146BB58" w:rsidR="00FC2259" w:rsidRDefault="00DD6AE1" w:rsidP="00DD6AE1">
      <w:r w:rsidRPr="00132BBF">
        <w:t xml:space="preserve">The module uploads exogenous parameters for the techno-economic and environmental characterisation of each </w:t>
      </w:r>
      <w:r w:rsidR="00753277">
        <w:t>technology</w:t>
      </w:r>
      <w:r w:rsidR="00065A4B" w:rsidRPr="00132BBF">
        <w:t xml:space="preserve"> </w:t>
      </w:r>
      <w:r w:rsidRPr="00132BBF">
        <w:t>type per region</w:t>
      </w:r>
      <w:r w:rsidR="00065A4B">
        <w:t xml:space="preserve"> in the base year as well as projected improvements in the next simulation periods</w:t>
      </w:r>
      <w:r w:rsidRPr="00132BBF">
        <w:t>.</w:t>
      </w:r>
      <w:r w:rsidR="00391E10">
        <w:t xml:space="preserve"> </w:t>
      </w:r>
      <w:r>
        <w:t>The full</w:t>
      </w:r>
      <w:r w:rsidRPr="00132BBF">
        <w:t xml:space="preserve"> data exchange protocol </w:t>
      </w:r>
      <w:r>
        <w:t xml:space="preserve">between the </w:t>
      </w:r>
      <w:r w:rsidR="00391E10">
        <w:t>RCM</w:t>
      </w:r>
      <w:r>
        <w:t xml:space="preserve"> and the next modules in MUSE is in Table 1</w:t>
      </w:r>
      <w:r w:rsidRPr="00132BBF">
        <w:t>.</w:t>
      </w:r>
    </w:p>
    <w:p w14:paraId="32F365FF" w14:textId="06D6E14C" w:rsidR="00F27088" w:rsidRDefault="00CB0BB2" w:rsidP="00AA7532">
      <w:r w:rsidRPr="00DD6AE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8329CC" wp14:editId="68365FDA">
                <wp:simplePos x="0" y="0"/>
                <wp:positionH relativeFrom="margin">
                  <wp:posOffset>106680</wp:posOffset>
                </wp:positionH>
                <wp:positionV relativeFrom="paragraph">
                  <wp:posOffset>252730</wp:posOffset>
                </wp:positionV>
                <wp:extent cx="5257165" cy="2832735"/>
                <wp:effectExtent l="0" t="0" r="19685" b="0"/>
                <wp:wrapTopAndBottom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165" cy="2832735"/>
                          <a:chOff x="-36642" y="-98960"/>
                          <a:chExt cx="6742242" cy="3122206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3295650" y="6014"/>
                            <a:ext cx="1152525" cy="100965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E157D1" w14:textId="3F275F05" w:rsidR="00DD6AE1" w:rsidRDefault="00056E2A" w:rsidP="00DD6A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RC</w:t>
                              </w:r>
                              <w:r w:rsidR="00DD6AE1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5553075" y="6014"/>
                            <a:ext cx="1152525" cy="100965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F2D440" w14:textId="77777777" w:rsidR="00DD6AE1" w:rsidRDefault="00DD6AE1" w:rsidP="00DD6A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MCA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5"/>
                        <wps:cNvSpPr txBox="1"/>
                        <wps:spPr>
                          <a:xfrm>
                            <a:off x="-36642" y="-98960"/>
                            <a:ext cx="2430626" cy="193169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C58799" w14:textId="77777777" w:rsidR="00DD6AE1" w:rsidRDefault="00DD6AE1" w:rsidP="00DD6AE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Exogenous Inputs:</w:t>
                              </w:r>
                            </w:p>
                            <w:p w14:paraId="460D0965" w14:textId="77777777" w:rsidR="0063764A" w:rsidRDefault="0063764A" w:rsidP="00DD6AE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Macroeconomic driver,</w:t>
                              </w:r>
                            </w:p>
                            <w:p w14:paraId="73C66B48" w14:textId="7D2E311E" w:rsidR="000D28D3" w:rsidRDefault="004F043C" w:rsidP="00DD6AE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assumptions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on </w:t>
                              </w:r>
                              <w:r w:rsidR="00DD6AE1"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polic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ies</w:t>
                              </w:r>
                              <w:r w:rsidR="00DD6AE1"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, </w:t>
                              </w:r>
                            </w:p>
                            <w:p w14:paraId="75CAF910" w14:textId="3748E9B0" w:rsidR="002B31FA" w:rsidRDefault="00DD6AE1" w:rsidP="00DD6AE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proofErr w:type="gramStart"/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cost</w:t>
                              </w:r>
                              <w:proofErr w:type="gramEnd"/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</w:t>
                              </w:r>
                              <w:r w:rsidR="002B31F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by asset type</w:t>
                              </w:r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,</w:t>
                              </w:r>
                            </w:p>
                            <w:p w14:paraId="08CDD63B" w14:textId="5A5E756B" w:rsidR="002B31FA" w:rsidRDefault="00DD6AE1" w:rsidP="002B31F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proofErr w:type="gramStart"/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efficiencies</w:t>
                              </w:r>
                              <w:proofErr w:type="gramEnd"/>
                              <w:r w:rsidR="002B31F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by asset type</w:t>
                              </w:r>
                              <w:r w:rsidR="002B31FA"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,</w:t>
                              </w:r>
                            </w:p>
                            <w:p w14:paraId="10B73E07" w14:textId="17507752" w:rsidR="002B31FA" w:rsidRDefault="00CB0BB2" w:rsidP="00DD6AE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environmental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</w:t>
                              </w:r>
                              <w:r w:rsidR="00DD6AE1"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emissions</w:t>
                              </w:r>
                              <w:r w:rsidR="002B31F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,</w:t>
                              </w:r>
                            </w:p>
                            <w:p w14:paraId="28D14E83" w14:textId="040762FB" w:rsidR="000D28D3" w:rsidRDefault="002B31FA" w:rsidP="00DD6AE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operational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constraints </w:t>
                              </w:r>
                              <w:r w:rsidR="000D28D3"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by </w:t>
                              </w:r>
                              <w:r w:rsidR="004F043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asset</w:t>
                              </w:r>
                              <w:r w:rsidR="004F043C"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</w:t>
                              </w:r>
                              <w:r w:rsidR="000D28D3"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type</w:t>
                              </w:r>
                              <w:r w:rsidR="000D28D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,</w:t>
                              </w:r>
                            </w:p>
                            <w:p w14:paraId="00EFC517" w14:textId="78FA8C75" w:rsidR="00DD6AE1" w:rsidRPr="00DD6AE1" w:rsidRDefault="00DD6AE1" w:rsidP="00DD6AE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  <w:proofErr w:type="gramStart"/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existing</w:t>
                              </w:r>
                              <w:proofErr w:type="gramEnd"/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</w:t>
                              </w:r>
                              <w:r w:rsidR="004F043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stock</w:t>
                              </w:r>
                              <w:r w:rsidR="004F043C"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</w:t>
                              </w:r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by </w:t>
                              </w:r>
                              <w:r w:rsidR="004F043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asset </w:t>
                              </w:r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type</w:t>
                              </w:r>
                              <w:r w:rsidR="004F043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and retirement profile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6"/>
                        <wps:cNvSpPr txBox="1"/>
                        <wps:spPr>
                          <a:xfrm>
                            <a:off x="2676525" y="1815476"/>
                            <a:ext cx="2324100" cy="1207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68A1EE" w14:textId="77777777" w:rsidR="00DD6AE1" w:rsidRDefault="00DD6AE1" w:rsidP="00DD6A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Specific Outputs:</w:t>
                              </w:r>
                            </w:p>
                            <w:p w14:paraId="0E18DF23" w14:textId="77777777" w:rsidR="00DD6AE1" w:rsidRPr="00DD6AE1" w:rsidRDefault="00DD6AE1" w:rsidP="00DD6A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gramStart"/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aggregate</w:t>
                              </w:r>
                              <w:proofErr w:type="gramEnd"/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CAPEX,</w:t>
                              </w:r>
                            </w:p>
                            <w:p w14:paraId="6B34FF1E" w14:textId="2DC534B8" w:rsidR="00DD6AE1" w:rsidRPr="00DD6AE1" w:rsidRDefault="00DD6AE1" w:rsidP="00DD6A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a</w:t>
                              </w:r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ggregate</w:t>
                              </w:r>
                              <w:proofErr w:type="gramEnd"/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OPEX,</w:t>
                              </w:r>
                            </w:p>
                            <w:p w14:paraId="6B2C0956" w14:textId="7273C6E3" w:rsidR="00DD6AE1" w:rsidRPr="00DD6AE1" w:rsidRDefault="00DD6AE1" w:rsidP="00DD6A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p</w:t>
                              </w:r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roduction</w:t>
                              </w:r>
                              <w:proofErr w:type="gramEnd"/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by </w:t>
                              </w:r>
                              <w:r w:rsidR="004F043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asset</w:t>
                              </w:r>
                              <w:r w:rsidR="004F043C"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</w:t>
                              </w:r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type, emissions by </w:t>
                              </w:r>
                              <w:r w:rsidR="004F043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asset</w:t>
                              </w:r>
                              <w:r w:rsidR="002B31F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</w:t>
                              </w:r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type,</w:t>
                              </w:r>
                            </w:p>
                            <w:p w14:paraId="136F0BFA" w14:textId="3B546174" w:rsidR="00DD6AE1" w:rsidRPr="00DD6AE1" w:rsidRDefault="00DD6AE1" w:rsidP="00DD6A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c</w:t>
                              </w:r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apacity</w:t>
                              </w:r>
                              <w:proofErr w:type="gramEnd"/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by </w:t>
                              </w:r>
                              <w:r w:rsidR="004F043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asset</w:t>
                              </w:r>
                              <w:r w:rsidR="004F043C"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</w:t>
                              </w:r>
                              <w:r w:rsidRPr="00DD6AE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 flipV="1">
                            <a:off x="2149965" y="507832"/>
                            <a:ext cx="1145685" cy="211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4448175" y="183982"/>
                            <a:ext cx="11049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flipH="1">
                            <a:off x="4448175" y="822157"/>
                            <a:ext cx="1104900" cy="300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>
                          <a:stCxn id="2" idx="2"/>
                        </wps:cNvCnPr>
                        <wps:spPr>
                          <a:xfrm flipH="1">
                            <a:off x="3871912" y="1015664"/>
                            <a:ext cx="1" cy="80361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8329CC" id="Group 17" o:spid="_x0000_s1026" style="position:absolute;left:0;text-align:left;margin-left:8.4pt;margin-top:19.9pt;width:413.95pt;height:223.05pt;z-index:251659264;mso-position-horizontal-relative:margin;mso-width-relative:margin;mso-height-relative:margin" coordorigin="-366,-989" coordsize="67422,3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">
                <v:rect id="Rectangle 2" o:spid="_x0000_s1027" style="position:absolute;left:32956;top:60;width:11525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C5bcEA&#10;AADaAAAADwAAAGRycy9kb3ducmV2LnhtbESPzWrDMBCE74W+g9hCb826OZTEjRKM20KoT/mh58Xa&#10;2CbWykiq4759FQjkOMzMN8xqM9lejexD50TD6ywDxVI700mj4Xj4elmACpHEUO+ENfxxgM368WFF&#10;uXEX2fG4j41KEAk5aWhjHHLEULdsKczcwJK8k/OWYpK+QePpkuC2x3mWvaGlTtJCSwOXLdfn/a/V&#10;4Mfyp8Ky+saPul9WWGyLz+i0fn6aindQkad4D9/aW6NhDtcr6Qbg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AuW3BAAAA2gAAAA8AAAAAAAAAAAAAAAAAmAIAAGRycy9kb3du&#10;cmV2LnhtbFBLBQYAAAAABAAEAPUAAACGAwAAAAA=&#10;" fillcolor="#ed7d31 [3205]" strokecolor="black [3213]" strokeweight="1pt">
                  <v:textbox>
                    <w:txbxContent>
                      <w:p w14:paraId="63E157D1" w14:textId="3F275F05" w:rsidR="00DD6AE1" w:rsidRDefault="00056E2A" w:rsidP="00DD6A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RC</w:t>
                        </w:r>
                        <w:r w:rsidR="00DD6AE1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M</w:t>
                        </w:r>
                      </w:p>
                    </w:txbxContent>
                  </v:textbox>
                </v:rect>
                <v:rect id="Rectangle 3" o:spid="_x0000_s1028" style="position:absolute;left:55530;top:60;width:11526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wc9sIA&#10;AADaAAAADwAAAGRycy9kb3ducmV2LnhtbESPQUvDQBSE74L/YXlCb/ZFC6JptyXEFkpzsornR/Y1&#10;CWbfht1tmv77riB4HGbmG2a1mWyvRvahc6LhaZ6BYqmd6aTR8PW5e3wFFSKJod4Ja7hygM36/m5F&#10;uXEX+eDxGBuVIBJy0tDGOOSIoW7ZUpi7gSV5J+ctxSR9g8bTJcFtj89Z9oKWOkkLLQ1ctlz/HM9W&#10;gx/L7wrL6oDvdf9WYbEvttFpPXuYiiWoyFP8D/+190bDAn6vpBuA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Bz2wgAAANoAAAAPAAAAAAAAAAAAAAAAAJgCAABkcnMvZG93&#10;bnJldi54bWxQSwUGAAAAAAQABAD1AAAAhwMAAAAA&#10;" fillcolor="#ed7d31 [3205]" strokecolor="black [3213]" strokeweight="1pt">
                  <v:textbox>
                    <w:txbxContent>
                      <w:p w14:paraId="56F2D440" w14:textId="77777777" w:rsidR="00DD6AE1" w:rsidRDefault="00DD6AE1" w:rsidP="00DD6A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MCA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-366;top:-989;width:24305;height:19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14:paraId="3CC58799" w14:textId="77777777" w:rsidR="00DD6AE1" w:rsidRDefault="00DD6AE1" w:rsidP="00DD6AE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Exogenous Inputs:</w:t>
                        </w:r>
                      </w:p>
                      <w:p w14:paraId="460D0965" w14:textId="77777777" w:rsidR="0063764A" w:rsidRDefault="0063764A" w:rsidP="00DD6AE1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Macroeconomic driver,</w:t>
                        </w:r>
                      </w:p>
                      <w:p w14:paraId="73C66B48" w14:textId="7D2E311E" w:rsidR="000D28D3" w:rsidRDefault="004F043C" w:rsidP="00DD6AE1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assumptions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 on </w:t>
                        </w:r>
                        <w:r w:rsidR="00DD6AE1"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polic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ies</w:t>
                        </w:r>
                        <w:r w:rsidR="00DD6AE1"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, </w:t>
                        </w:r>
                      </w:p>
                      <w:p w14:paraId="75CAF910" w14:textId="3748E9B0" w:rsidR="002B31FA" w:rsidRDefault="00DD6AE1" w:rsidP="00DD6AE1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</w:pPr>
                        <w:proofErr w:type="gramStart"/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cost</w:t>
                        </w:r>
                        <w:proofErr w:type="gramEnd"/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 </w:t>
                        </w:r>
                        <w:r w:rsidR="002B31F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by asset type</w:t>
                        </w:r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,</w:t>
                        </w:r>
                      </w:p>
                      <w:p w14:paraId="08CDD63B" w14:textId="5A5E756B" w:rsidR="002B31FA" w:rsidRDefault="00DD6AE1" w:rsidP="002B31F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</w:pPr>
                        <w:proofErr w:type="gramStart"/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efficiencies</w:t>
                        </w:r>
                        <w:proofErr w:type="gramEnd"/>
                        <w:r w:rsidR="002B31F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 by asset type</w:t>
                        </w:r>
                        <w:r w:rsidR="002B31FA"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,</w:t>
                        </w:r>
                      </w:p>
                      <w:p w14:paraId="10B73E07" w14:textId="17507752" w:rsidR="002B31FA" w:rsidRDefault="00CB0BB2" w:rsidP="00DD6AE1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environmental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 </w:t>
                        </w:r>
                        <w:r w:rsidR="00DD6AE1"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emissions</w:t>
                        </w:r>
                        <w:r w:rsidR="002B31F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,</w:t>
                        </w:r>
                      </w:p>
                      <w:p w14:paraId="28D14E83" w14:textId="040762FB" w:rsidR="000D28D3" w:rsidRDefault="002B31FA" w:rsidP="00DD6AE1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operational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 constraints </w:t>
                        </w:r>
                        <w:r w:rsidR="000D28D3"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by </w:t>
                        </w:r>
                        <w:r w:rsidR="004F043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asset</w:t>
                        </w:r>
                        <w:r w:rsidR="004F043C"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 </w:t>
                        </w:r>
                        <w:r w:rsidR="000D28D3"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type</w:t>
                        </w:r>
                        <w:r w:rsidR="000D28D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,</w:t>
                        </w:r>
                      </w:p>
                      <w:p w14:paraId="00EFC517" w14:textId="78FA8C75" w:rsidR="00DD6AE1" w:rsidRPr="00DD6AE1" w:rsidRDefault="00DD6AE1" w:rsidP="00DD6AE1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</w:rPr>
                        </w:pPr>
                        <w:proofErr w:type="gramStart"/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existing</w:t>
                        </w:r>
                        <w:proofErr w:type="gramEnd"/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 </w:t>
                        </w:r>
                        <w:r w:rsidR="004F043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stock</w:t>
                        </w:r>
                        <w:r w:rsidR="004F043C"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 </w:t>
                        </w:r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by </w:t>
                        </w:r>
                        <w:r w:rsidR="004F043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asset </w:t>
                        </w:r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type</w:t>
                        </w:r>
                        <w:r w:rsidR="004F043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 and retirement profile</w:t>
                        </w:r>
                      </w:p>
                    </w:txbxContent>
                  </v:textbox>
                </v:shape>
                <v:shape id="TextBox 6" o:spid="_x0000_s1030" type="#_x0000_t202" style="position:absolute;left:26765;top:18154;width:23241;height:12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14:paraId="0968A1EE" w14:textId="77777777" w:rsidR="00DD6AE1" w:rsidRDefault="00DD6AE1" w:rsidP="00DD6A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Specific Outputs:</w:t>
                        </w:r>
                      </w:p>
                      <w:p w14:paraId="0E18DF23" w14:textId="77777777" w:rsidR="00DD6AE1" w:rsidRPr="00DD6AE1" w:rsidRDefault="00DD6AE1" w:rsidP="00DD6AE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proofErr w:type="gramStart"/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aggregate</w:t>
                        </w:r>
                        <w:proofErr w:type="gramEnd"/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 CAPEX,</w:t>
                        </w:r>
                      </w:p>
                      <w:p w14:paraId="6B34FF1E" w14:textId="2DC534B8" w:rsidR="00DD6AE1" w:rsidRPr="00DD6AE1" w:rsidRDefault="00DD6AE1" w:rsidP="00DD6AE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a</w:t>
                        </w:r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ggregate</w:t>
                        </w:r>
                        <w:proofErr w:type="gramEnd"/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 OPEX,</w:t>
                        </w:r>
                      </w:p>
                      <w:p w14:paraId="6B2C0956" w14:textId="7273C6E3" w:rsidR="00DD6AE1" w:rsidRPr="00DD6AE1" w:rsidRDefault="00DD6AE1" w:rsidP="00DD6AE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p</w:t>
                        </w:r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roduction</w:t>
                        </w:r>
                        <w:proofErr w:type="gramEnd"/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 by </w:t>
                        </w:r>
                        <w:r w:rsidR="004F043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asset</w:t>
                        </w:r>
                        <w:r w:rsidR="004F043C"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 </w:t>
                        </w:r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type, emissions by </w:t>
                        </w:r>
                        <w:r w:rsidR="004F043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asset</w:t>
                        </w:r>
                        <w:r w:rsidR="002B31F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 </w:t>
                        </w:r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type,</w:t>
                        </w:r>
                      </w:p>
                      <w:p w14:paraId="136F0BFA" w14:textId="3B546174" w:rsidR="00DD6AE1" w:rsidRPr="00DD6AE1" w:rsidRDefault="00DD6AE1" w:rsidP="00DD6AE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c</w:t>
                        </w:r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apacity</w:t>
                        </w:r>
                        <w:proofErr w:type="gramEnd"/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 by </w:t>
                        </w:r>
                        <w:r w:rsidR="004F043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asset</w:t>
                        </w:r>
                        <w:r w:rsidR="004F043C"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 xml:space="preserve"> </w:t>
                        </w:r>
                        <w:r w:rsidRPr="00DD6AE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</w:rPr>
                          <w:t>type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31" type="#_x0000_t32" style="position:absolute;left:21499;top:5078;width:11457;height:2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Xpq8QAAADaAAAADwAAAGRycy9kb3ducmV2LnhtbESPzWrDMBCE74W+g9hCb43stiTGjRJM&#10;oTQ9+BCnD7C1traJtTKW/JM8fRQI5DjMzDfMejubVozUu8aygngRgSAurW64UvB7+HpJQDiPrLG1&#10;TApO5GC7eXxYY6rtxHsaC1+JAGGXooLa+y6V0pU1GXQL2xEH79/2Bn2QfSV1j1OAm1a+RtFSGmw4&#10;LNTY0WdN5bEYjILv41v8U3GS/A2r8yGy71ke55NSz09z9gHC0+zv4Vt7pxUs4Xol3AC5u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VemrxAAAANoAAAAPAAAAAAAAAAAA&#10;AAAAAKECAABkcnMvZG93bnJldi54bWxQSwUGAAAAAAQABAD5AAAAkgMAAAAA&#10;" strokecolor="black [3213]" strokeweight="1.5pt">
                  <v:stroke endarrow="block" joinstyle="miter"/>
                </v:shape>
                <v:shape id="Straight Arrow Connector 7" o:spid="_x0000_s1032" type="#_x0000_t32" style="position:absolute;left:44481;top:1839;width:1104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grTsYAAADaAAAADwAAAGRycy9kb3ducmV2LnhtbESPT2vCQBTE74LfYXlCL9Js9NBKmlWk&#10;VWilh/jn0ONr9plEs29DdtXop+8KBY/DzPyGSWedqcWZWldZVjCKYhDEudUVFwp22+XzBITzyBpr&#10;y6TgSg5m034vxUTbC6/pvPGFCBB2CSoovW8SKV1ekkEX2YY4eHvbGvRBtoXULV4C3NRyHMcv0mDF&#10;YaHEht5Lyo+bk1GQNUP3s/3aZavb6dvcficfC5sdlHoadPM3EJ46/wj/tz+1gle4Xwk3QE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4K07GAAAA2gAAAA8AAAAAAAAA&#10;AAAAAAAAoQIAAGRycy9kb3ducmV2LnhtbFBLBQYAAAAABAAEAPkAAACUAwAAAAA=&#10;" strokecolor="black [3213]" strokeweight="1.5pt">
                  <v:stroke endarrow="block" joinstyle="miter"/>
                </v:shape>
                <v:shape id="Straight Arrow Connector 8" o:spid="_x0000_s1033" type="#_x0000_t32" style="position:absolute;left:44481;top:8221;width:11049;height: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bYQsAAAADaAAAADwAAAGRycy9kb3ducmV2LnhtbERPy4rCMBTdD8w/hDvgbkyroqVjKiKI&#10;unDh4wOuzZ22tLkpTbR1vn6yEFweznu5GkwjHtS5yrKCeByBIM6trrhQcL1svxMQziNrbCyTgic5&#10;WGWfH0tMte35RI+zL0QIYZeigtL7NpXS5SUZdGPbEgfu13YGfYBdIXWHfQg3jZxE0VwarDg0lNjS&#10;pqS8Pt+Ngl09jQ8FJ8ntvvi7RHa2PsbHXqnR17D+AeFp8G/xy73XCsLWcCXcAJ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uG2ELAAAAA2gAAAA8AAAAAAAAAAAAAAAAA&#10;oQIAAGRycy9kb3ducmV2LnhtbFBLBQYAAAAABAAEAPkAAACOAwAAAAA=&#10;" strokecolor="black [3213]" strokeweight="1.5pt">
                  <v:stroke endarrow="block" joinstyle="miter"/>
                </v:shape>
                <v:shape id="Straight Arrow Connector 9" o:spid="_x0000_s1034" type="#_x0000_t32" style="position:absolute;left:38719;top:10156;width:0;height:803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p92cQAAADaAAAADwAAAGRycy9kb3ducmV2LnhtbESPzWrDMBCE74G+g9hCb43spLSuEyWE&#10;QGh7yCF2H2BrbWwTa2Us+Sd5+qpQyHGYmW+Y9XYyjRioc7VlBfE8AkFcWF1zqeA7PzwnIJxH1thY&#10;JgVXcrDdPMzWmGo78omGzJciQNilqKDyvk2ldEVFBt3ctsTBO9vOoA+yK6XucAxw08hFFL1KgzWH&#10;hQpb2ldUXLLeKPi4LOOvkpPkp3+75ZF92R3j46jU0+O0W4HwNPl7+L/9qRW8w9+VcAP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yn3ZxAAAANoAAAAPAAAAAAAAAAAA&#10;AAAAAKECAABkcnMvZG93bnJldi54bWxQSwUGAAAAAAQABAD5AAAAkgMAAAAA&#10;" strokecolor="black [3213]" strokeweight="1.5pt">
                  <v:stroke endarrow="block" joinstyle="miter"/>
                </v:shape>
                <w10:wrap type="topAndBottom" anchorx="margin"/>
              </v:group>
            </w:pict>
          </mc:Fallback>
        </mc:AlternateContent>
      </w:r>
      <w:r w:rsidR="002069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86E46" wp14:editId="5891B118">
                <wp:simplePos x="0" y="0"/>
                <wp:positionH relativeFrom="margin">
                  <wp:posOffset>3544722</wp:posOffset>
                </wp:positionH>
                <wp:positionV relativeFrom="paragraph">
                  <wp:posOffset>1341348</wp:posOffset>
                </wp:positionV>
                <wp:extent cx="2453640" cy="563245"/>
                <wp:effectExtent l="0" t="0" r="0" b="0"/>
                <wp:wrapNone/>
                <wp:docPr id="1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563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2692C1" w14:textId="468F6188" w:rsidR="0063764A" w:rsidRDefault="002B31FA" w:rsidP="000D2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forward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 </w:t>
                            </w:r>
                            <w:r w:rsidR="00CB0BB2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prices</w:t>
                            </w:r>
                            <w:r w:rsidR="0063764A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of </w:t>
                            </w:r>
                            <w:r w:rsidR="00CB0BB2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fuels</w:t>
                            </w:r>
                            <w:r w:rsidR="000D28D3" w:rsidRPr="000D28D3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,</w:t>
                            </w:r>
                            <w:r w:rsidR="0099033D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  <w:p w14:paraId="01839E3B" w14:textId="655D1B2A" w:rsidR="000D28D3" w:rsidRPr="0063764A" w:rsidRDefault="002B31FA" w:rsidP="000D2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forward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 </w:t>
                            </w:r>
                            <w:r w:rsidR="0063764A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carbon price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86E46" id="TextBox 5" o:spid="_x0000_s1035" type="#_x0000_t202" style="position:absolute;left:0;text-align:left;margin-left:279.1pt;margin-top:105.6pt;width:193.2pt;height:44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" filled="f" stroked="f">
                <v:textbox>
                  <w:txbxContent>
                    <w:p w14:paraId="672692C1" w14:textId="468F6188" w:rsidR="0063764A" w:rsidRDefault="002B31FA" w:rsidP="000D28D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  <w:t>forward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  <w:t xml:space="preserve"> </w:t>
                      </w:r>
                      <w:r w:rsidR="00CB0BB2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  <w:t>prices</w:t>
                      </w:r>
                      <w:r w:rsidR="0063764A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  <w:t xml:space="preserve">of </w:t>
                      </w:r>
                      <w:r w:rsidR="00CB0BB2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  <w:t>fuels</w:t>
                      </w:r>
                      <w:r w:rsidR="000D28D3" w:rsidRPr="000D28D3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  <w:t>,</w:t>
                      </w:r>
                      <w:r w:rsidR="0099033D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  <w:t xml:space="preserve"> </w:t>
                      </w:r>
                    </w:p>
                    <w:p w14:paraId="01839E3B" w14:textId="655D1B2A" w:rsidR="000D28D3" w:rsidRPr="0063764A" w:rsidRDefault="002B31FA" w:rsidP="000D28D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  <w:t>forward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  <w:t xml:space="preserve"> </w:t>
                      </w:r>
                      <w:r w:rsidR="0063764A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  <w:t>carbon price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9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98C4E" wp14:editId="7C8DD521">
                <wp:simplePos x="0" y="0"/>
                <wp:positionH relativeFrom="margin">
                  <wp:align>right</wp:align>
                </wp:positionH>
                <wp:positionV relativeFrom="paragraph">
                  <wp:posOffset>5181</wp:posOffset>
                </wp:positionV>
                <wp:extent cx="2190750" cy="571500"/>
                <wp:effectExtent l="0" t="0" r="0" b="0"/>
                <wp:wrapNone/>
                <wp:docPr id="13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AC5898" w14:textId="7351823E" w:rsidR="004F043C" w:rsidRDefault="00FC2259" w:rsidP="00FC225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demand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 for</w:t>
                            </w:r>
                            <w:r w:rsidR="00CB0BB2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fuels, </w:t>
                            </w:r>
                          </w:p>
                          <w:p w14:paraId="08BA094E" w14:textId="6DCF7DB5" w:rsidR="00FC2259" w:rsidRPr="000D28D3" w:rsidRDefault="00FC2259" w:rsidP="00FC225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emissions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98C4E" id="_x0000_s1036" type="#_x0000_t202" style="position:absolute;left:0;text-align:left;margin-left:121.3pt;margin-top:.4pt;width:172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" filled="f" stroked="f">
                <v:textbox>
                  <w:txbxContent>
                    <w:p w14:paraId="0BAC5898" w14:textId="7351823E" w:rsidR="004F043C" w:rsidRDefault="00FC2259" w:rsidP="00FC225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  <w:t>demand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  <w:t xml:space="preserve"> for</w:t>
                      </w:r>
                      <w:r w:rsidR="00CB0BB2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  <w:t xml:space="preserve">fuels, </w:t>
                      </w:r>
                    </w:p>
                    <w:p w14:paraId="08BA094E" w14:textId="6DCF7DB5" w:rsidR="00FC2259" w:rsidRPr="000D28D3" w:rsidRDefault="00FC2259" w:rsidP="00FC2259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0"/>
                        </w:rPr>
                        <w:t>emissions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C4A9C4" w14:textId="7C2F7249" w:rsidR="00DD6AE1" w:rsidRPr="001F5628" w:rsidRDefault="00DD6AE1" w:rsidP="00DD6AE1">
      <w:pPr>
        <w:pStyle w:val="Caption1"/>
        <w:ind w:left="0" w:firstLine="0"/>
        <w:jc w:val="center"/>
      </w:pPr>
      <w:r>
        <w:t xml:space="preserve">Figure </w:t>
      </w:r>
      <w:r w:rsidR="00391E10">
        <w:t>1: Major interactions between RC</w:t>
      </w:r>
      <w:r>
        <w:t>M and the rest of MUSE</w:t>
      </w:r>
    </w:p>
    <w:p w14:paraId="29204F4D" w14:textId="77777777" w:rsidR="00C808FB" w:rsidRDefault="00C808FB" w:rsidP="00AA7532"/>
    <w:p w14:paraId="29EADD42" w14:textId="1458BA3D" w:rsidR="0085474F" w:rsidRPr="001F5628" w:rsidRDefault="00DB5B27" w:rsidP="00DD6AE1">
      <w:pPr>
        <w:pStyle w:val="Caption1"/>
        <w:ind w:left="0" w:firstLine="0"/>
        <w:jc w:val="center"/>
      </w:pPr>
      <w:r>
        <w:t>Table 1: Description of the data exchange protocol fo</w:t>
      </w:r>
      <w:bookmarkStart w:id="0" w:name="_GoBack"/>
      <w:bookmarkEnd w:id="0"/>
      <w:r>
        <w:t xml:space="preserve">r the </w:t>
      </w:r>
      <w:r w:rsidR="00391E10">
        <w:t>RC</w:t>
      </w:r>
      <w:r w:rsidR="00846A53">
        <w:t>M</w:t>
      </w:r>
      <w:r w:rsidR="00127480">
        <w:t>.</w:t>
      </w:r>
    </w:p>
    <w:tbl>
      <w:tblPr>
        <w:tblStyle w:val="GridTable21"/>
        <w:tblW w:w="9070" w:type="dxa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AA7532" w14:paraId="0239B227" w14:textId="77777777" w:rsidTr="000D7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bottom w:val="single" w:sz="24" w:space="0" w:color="auto"/>
            </w:tcBorders>
          </w:tcPr>
          <w:p w14:paraId="6F72B4C6" w14:textId="731F6B2F" w:rsidR="00CE6FBE" w:rsidRDefault="00391E10" w:rsidP="00CE6FBE">
            <w:r>
              <w:t>RC</w:t>
            </w:r>
            <w:r w:rsidR="00056E2A">
              <w:t>M</w:t>
            </w:r>
            <w:r w:rsidR="00AA7532">
              <w:t xml:space="preserve"> </w:t>
            </w:r>
            <w:r w:rsidR="00542C27">
              <w:t xml:space="preserve">Key </w:t>
            </w:r>
            <w:r w:rsidR="00CE6FBE">
              <w:t>Inputs</w:t>
            </w:r>
          </w:p>
        </w:tc>
        <w:tc>
          <w:tcPr>
            <w:tcW w:w="4535" w:type="dxa"/>
            <w:tcBorders>
              <w:bottom w:val="single" w:sz="24" w:space="0" w:color="auto"/>
            </w:tcBorders>
          </w:tcPr>
          <w:p w14:paraId="1E8E111C" w14:textId="52A07A83" w:rsidR="00CE6FBE" w:rsidRDefault="00391E10" w:rsidP="00CE6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RC</w:t>
            </w:r>
            <w:r w:rsidR="00056E2A">
              <w:t>M</w:t>
            </w:r>
            <w:r w:rsidR="00AA7532">
              <w:t xml:space="preserve"> </w:t>
            </w:r>
            <w:r w:rsidR="00542C27">
              <w:t xml:space="preserve">Key </w:t>
            </w:r>
            <w:r w:rsidR="00CE6FBE">
              <w:t>Outputs</w:t>
            </w:r>
          </w:p>
        </w:tc>
      </w:tr>
      <w:tr w:rsidR="00AA7532" w14:paraId="51FB55BE" w14:textId="77777777" w:rsidTr="000D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364D2341" w14:textId="7E1B6D2B" w:rsidR="00924D6C" w:rsidRPr="00332A62" w:rsidRDefault="00924D6C" w:rsidP="00924D6C">
            <w:pPr>
              <w:rPr>
                <w:sz w:val="20"/>
              </w:rPr>
            </w:pPr>
            <w:r w:rsidRPr="00332A62">
              <w:rPr>
                <w:sz w:val="20"/>
              </w:rPr>
              <w:t>MUSE core dynamic variables</w:t>
            </w:r>
          </w:p>
          <w:p w14:paraId="4FE16A0B" w14:textId="7188D13F" w:rsidR="00492C81" w:rsidRDefault="00492C81" w:rsidP="00492C81">
            <w:pPr>
              <w:pStyle w:val="ListParagraph"/>
              <w:numPr>
                <w:ilvl w:val="0"/>
                <w:numId w:val="1"/>
              </w:numPr>
              <w:rPr>
                <w:b w:val="0"/>
                <w:sz w:val="20"/>
              </w:rPr>
            </w:pPr>
            <w:r w:rsidRPr="00492C81">
              <w:rPr>
                <w:b w:val="0"/>
                <w:sz w:val="20"/>
              </w:rPr>
              <w:t>Forward</w:t>
            </w:r>
            <w:r w:rsidR="00B676AC">
              <w:rPr>
                <w:b w:val="0"/>
                <w:sz w:val="20"/>
              </w:rPr>
              <w:t xml:space="preserve"> </w:t>
            </w:r>
            <w:r w:rsidRPr="00492C81">
              <w:rPr>
                <w:b w:val="0"/>
                <w:sz w:val="20"/>
              </w:rPr>
              <w:t xml:space="preserve">fuel price </w:t>
            </w:r>
            <w:r w:rsidR="003F1439" w:rsidRPr="00492C81">
              <w:rPr>
                <w:b w:val="0"/>
                <w:sz w:val="20"/>
              </w:rPr>
              <w:t xml:space="preserve">for </w:t>
            </w:r>
            <w:r w:rsidR="003F1439">
              <w:rPr>
                <w:b w:val="0"/>
                <w:sz w:val="20"/>
              </w:rPr>
              <w:t xml:space="preserve">each </w:t>
            </w:r>
            <w:r w:rsidR="003F1439" w:rsidRPr="00492C81">
              <w:rPr>
                <w:b w:val="0"/>
                <w:sz w:val="20"/>
              </w:rPr>
              <w:t xml:space="preserve">time period with </w:t>
            </w:r>
            <w:proofErr w:type="spellStart"/>
            <w:r w:rsidR="003F1439" w:rsidRPr="00492C81">
              <w:rPr>
                <w:b w:val="0"/>
                <w:sz w:val="20"/>
              </w:rPr>
              <w:t>timeslice</w:t>
            </w:r>
            <w:proofErr w:type="spellEnd"/>
            <w:r w:rsidR="003F1439" w:rsidRPr="00492C81">
              <w:rPr>
                <w:b w:val="0"/>
                <w:sz w:val="20"/>
              </w:rPr>
              <w:t xml:space="preserve"> disaggregation</w:t>
            </w:r>
            <w:r w:rsidRPr="00492C81">
              <w:rPr>
                <w:b w:val="0"/>
                <w:sz w:val="20"/>
              </w:rPr>
              <w:t xml:space="preserve"> (</w:t>
            </w:r>
            <w:r w:rsidR="00F27088">
              <w:rPr>
                <w:b w:val="0"/>
                <w:sz w:val="20"/>
              </w:rPr>
              <w:t>MUSD</w:t>
            </w:r>
            <w:r w:rsidR="00F27088" w:rsidRPr="00F27088">
              <w:rPr>
                <w:b w:val="0"/>
                <w:sz w:val="20"/>
                <w:vertAlign w:val="subscript"/>
              </w:rPr>
              <w:t>2010</w:t>
            </w:r>
            <w:r w:rsidR="00F27088">
              <w:rPr>
                <w:b w:val="0"/>
                <w:sz w:val="20"/>
              </w:rPr>
              <w:t>/</w:t>
            </w:r>
            <w:r w:rsidRPr="00492C81">
              <w:rPr>
                <w:b w:val="0"/>
                <w:sz w:val="20"/>
              </w:rPr>
              <w:t>PJ</w:t>
            </w:r>
            <w:r w:rsidR="00F27088">
              <w:rPr>
                <w:b w:val="0"/>
                <w:sz w:val="20"/>
              </w:rPr>
              <w:t>)</w:t>
            </w:r>
          </w:p>
          <w:p w14:paraId="47CD5D62" w14:textId="704E8D36" w:rsidR="00492C81" w:rsidRDefault="00F27088" w:rsidP="00492C81">
            <w:pPr>
              <w:pStyle w:val="ListParagraph"/>
              <w:numPr>
                <w:ilvl w:val="0"/>
                <w:numId w:val="1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Forward carbon price (MUSD</w:t>
            </w:r>
            <w:r w:rsidR="00492C81" w:rsidRPr="00F27088">
              <w:rPr>
                <w:b w:val="0"/>
                <w:sz w:val="20"/>
                <w:vertAlign w:val="subscript"/>
              </w:rPr>
              <w:t>2010</w:t>
            </w:r>
            <w:r>
              <w:rPr>
                <w:b w:val="0"/>
                <w:sz w:val="20"/>
              </w:rPr>
              <w:t>/GtCO</w:t>
            </w:r>
            <w:r w:rsidRPr="00F27088">
              <w:rPr>
                <w:b w:val="0"/>
                <w:sz w:val="20"/>
                <w:vertAlign w:val="subscript"/>
              </w:rPr>
              <w:t>2</w:t>
            </w:r>
            <w:r w:rsidR="00492C81" w:rsidRPr="00492C81">
              <w:rPr>
                <w:b w:val="0"/>
                <w:sz w:val="20"/>
              </w:rPr>
              <w:t>)</w:t>
            </w:r>
          </w:p>
          <w:p w14:paraId="108C4ECD" w14:textId="77777777" w:rsidR="00F27088" w:rsidRPr="00492C81" w:rsidRDefault="00F27088" w:rsidP="00F27088">
            <w:pPr>
              <w:pStyle w:val="ListParagraph"/>
              <w:ind w:left="360"/>
              <w:rPr>
                <w:b w:val="0"/>
                <w:sz w:val="20"/>
              </w:rPr>
            </w:pPr>
          </w:p>
          <w:p w14:paraId="4DBF30E0" w14:textId="221D763F" w:rsidR="00924D6C" w:rsidRPr="00132BBF" w:rsidRDefault="00056E2A" w:rsidP="00132BBF">
            <w:pPr>
              <w:rPr>
                <w:sz w:val="20"/>
              </w:rPr>
            </w:pPr>
            <w:r>
              <w:rPr>
                <w:sz w:val="20"/>
              </w:rPr>
              <w:t>RCBSM</w:t>
            </w:r>
            <w:r w:rsidR="00756CD1" w:rsidRPr="00132BBF">
              <w:rPr>
                <w:sz w:val="20"/>
              </w:rPr>
              <w:t>-</w:t>
            </w:r>
            <w:r w:rsidR="00924D6C" w:rsidRPr="00132BBF">
              <w:rPr>
                <w:sz w:val="20"/>
              </w:rPr>
              <w:t>specific input parameters</w:t>
            </w:r>
          </w:p>
          <w:p w14:paraId="0645217D" w14:textId="5701973C" w:rsidR="008307BE" w:rsidRPr="00492C81" w:rsidRDefault="00492C81" w:rsidP="00492C81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sz w:val="20"/>
              </w:rPr>
            </w:pPr>
            <w:r w:rsidRPr="00492C81">
              <w:rPr>
                <w:b w:val="0"/>
                <w:sz w:val="20"/>
              </w:rPr>
              <w:t xml:space="preserve">Techno-economic </w:t>
            </w:r>
            <w:r w:rsidR="00391E10">
              <w:rPr>
                <w:b w:val="0"/>
                <w:sz w:val="20"/>
              </w:rPr>
              <w:t xml:space="preserve">and environmental </w:t>
            </w:r>
            <w:r w:rsidRPr="00492C81">
              <w:rPr>
                <w:b w:val="0"/>
                <w:sz w:val="20"/>
              </w:rPr>
              <w:t>characterisation (conversion efficiency, unit investment and operating costs</w:t>
            </w:r>
            <w:r w:rsidR="00391E10">
              <w:rPr>
                <w:b w:val="0"/>
                <w:sz w:val="20"/>
              </w:rPr>
              <w:t>, GHG emissions and F-gases emissions</w:t>
            </w:r>
            <w:r w:rsidRPr="00492C81">
              <w:rPr>
                <w:b w:val="0"/>
                <w:sz w:val="20"/>
              </w:rPr>
              <w:t xml:space="preserve">) of each </w:t>
            </w:r>
            <w:r w:rsidR="00391E10">
              <w:rPr>
                <w:b w:val="0"/>
                <w:sz w:val="20"/>
              </w:rPr>
              <w:t>end-</w:t>
            </w:r>
            <w:r w:rsidR="0020695C">
              <w:rPr>
                <w:b w:val="0"/>
                <w:sz w:val="20"/>
              </w:rPr>
              <w:t>use technology</w:t>
            </w:r>
            <w:r w:rsidRPr="00492C81">
              <w:rPr>
                <w:b w:val="0"/>
                <w:sz w:val="20"/>
              </w:rPr>
              <w:t xml:space="preserve"> in each time period and region</w:t>
            </w:r>
          </w:p>
          <w:p w14:paraId="7021BEE1" w14:textId="1A76CB5A" w:rsidR="00492C81" w:rsidRPr="00492C81" w:rsidRDefault="00492C81" w:rsidP="00492C81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b w:val="0"/>
                <w:sz w:val="20"/>
              </w:rPr>
            </w:pPr>
            <w:r w:rsidRPr="00492C81">
              <w:rPr>
                <w:b w:val="0"/>
                <w:sz w:val="20"/>
              </w:rPr>
              <w:t xml:space="preserve">Existing </w:t>
            </w:r>
            <w:r w:rsidR="0020695C">
              <w:rPr>
                <w:b w:val="0"/>
                <w:sz w:val="20"/>
              </w:rPr>
              <w:t>end-use technologies</w:t>
            </w:r>
            <w:r w:rsidRPr="00492C81">
              <w:rPr>
                <w:b w:val="0"/>
                <w:sz w:val="20"/>
              </w:rPr>
              <w:t xml:space="preserve"> for the model base year by technology type, including their retirement profile</w:t>
            </w:r>
          </w:p>
          <w:p w14:paraId="7A742EE6" w14:textId="7313AF7C" w:rsidR="0020695C" w:rsidRPr="00492C81" w:rsidRDefault="0020695C" w:rsidP="00CB0BB2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sz w:val="20"/>
              </w:rPr>
            </w:pPr>
            <w:r>
              <w:rPr>
                <w:b w:val="0"/>
                <w:sz w:val="20"/>
              </w:rPr>
              <w:t>Macroeconomic driver</w:t>
            </w:r>
            <w:r w:rsidR="000E28BA">
              <w:rPr>
                <w:b w:val="0"/>
                <w:sz w:val="20"/>
              </w:rPr>
              <w:t>s</w:t>
            </w:r>
            <w:r w:rsidR="00391E10">
              <w:rPr>
                <w:b w:val="0"/>
                <w:sz w:val="20"/>
              </w:rPr>
              <w:t xml:space="preserve"> and policy assumptions</w:t>
            </w:r>
          </w:p>
        </w:tc>
        <w:tc>
          <w:tcPr>
            <w:tcW w:w="453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37F9D0" w14:textId="7280AECF" w:rsidR="00924D6C" w:rsidRPr="00332A62" w:rsidRDefault="00924D6C" w:rsidP="00924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332A62">
              <w:rPr>
                <w:b/>
                <w:sz w:val="20"/>
              </w:rPr>
              <w:t>MUSE core dynamic variables</w:t>
            </w:r>
          </w:p>
          <w:p w14:paraId="2C845032" w14:textId="6529CAF8" w:rsidR="00492C81" w:rsidRDefault="003F1439" w:rsidP="00492C8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  <w:r>
              <w:rPr>
                <w:bCs/>
                <w:sz w:val="20"/>
              </w:rPr>
              <w:t>Forward</w:t>
            </w:r>
            <w:r w:rsidRPr="00492C81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e</w:t>
            </w:r>
            <w:r w:rsidR="00492C81" w:rsidRPr="00492C81">
              <w:rPr>
                <w:bCs/>
                <w:sz w:val="20"/>
              </w:rPr>
              <w:t xml:space="preserve">missions for each time period, region and </w:t>
            </w:r>
            <w:proofErr w:type="spellStart"/>
            <w:r w:rsidR="00492C81" w:rsidRPr="00492C81">
              <w:rPr>
                <w:bCs/>
                <w:sz w:val="20"/>
              </w:rPr>
              <w:t>timeslice</w:t>
            </w:r>
            <w:proofErr w:type="spellEnd"/>
            <w:r w:rsidR="00492C81" w:rsidRPr="00492C81">
              <w:rPr>
                <w:bCs/>
                <w:sz w:val="20"/>
              </w:rPr>
              <w:t xml:space="preserve"> (</w:t>
            </w:r>
            <w:r w:rsidR="00F27088">
              <w:rPr>
                <w:bCs/>
                <w:sz w:val="20"/>
              </w:rPr>
              <w:t>GtCO</w:t>
            </w:r>
            <w:r w:rsidR="00492C81" w:rsidRPr="00F27088">
              <w:rPr>
                <w:bCs/>
                <w:sz w:val="20"/>
                <w:vertAlign w:val="subscript"/>
              </w:rPr>
              <w:t>2</w:t>
            </w:r>
            <w:r w:rsidR="00F27088">
              <w:rPr>
                <w:bCs/>
                <w:sz w:val="20"/>
              </w:rPr>
              <w:t>/</w:t>
            </w:r>
            <w:r w:rsidR="00492C81" w:rsidRPr="00492C81">
              <w:rPr>
                <w:bCs/>
                <w:sz w:val="20"/>
              </w:rPr>
              <w:t>year)</w:t>
            </w:r>
          </w:p>
          <w:p w14:paraId="2674354F" w14:textId="34AF12CE" w:rsidR="00492C81" w:rsidRPr="00132BBF" w:rsidRDefault="003F1439" w:rsidP="00492C8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  <w:r>
              <w:rPr>
                <w:bCs/>
                <w:sz w:val="20"/>
              </w:rPr>
              <w:t>Forward</w:t>
            </w:r>
            <w:r w:rsidR="00B676AC">
              <w:rPr>
                <w:bCs/>
                <w:sz w:val="20"/>
              </w:rPr>
              <w:t xml:space="preserve"> primary fuel</w:t>
            </w:r>
            <w:r w:rsidRPr="00492C81">
              <w:rPr>
                <w:bCs/>
                <w:sz w:val="20"/>
              </w:rPr>
              <w:t xml:space="preserve"> </w:t>
            </w:r>
            <w:r w:rsidR="00B676AC">
              <w:rPr>
                <w:bCs/>
                <w:sz w:val="20"/>
              </w:rPr>
              <w:t>demand</w:t>
            </w:r>
            <w:r>
              <w:rPr>
                <w:bCs/>
                <w:sz w:val="20"/>
              </w:rPr>
              <w:t xml:space="preserve"> for each time period, region </w:t>
            </w:r>
            <w:r w:rsidR="00492C81" w:rsidRPr="00492C81">
              <w:rPr>
                <w:bCs/>
                <w:sz w:val="20"/>
              </w:rPr>
              <w:t xml:space="preserve">and </w:t>
            </w:r>
            <w:proofErr w:type="spellStart"/>
            <w:r w:rsidR="00492C81" w:rsidRPr="00492C81">
              <w:rPr>
                <w:bCs/>
                <w:sz w:val="20"/>
              </w:rPr>
              <w:t>timeslice</w:t>
            </w:r>
            <w:proofErr w:type="spellEnd"/>
            <w:r w:rsidR="00492C81" w:rsidRPr="00492C81">
              <w:rPr>
                <w:bCs/>
                <w:sz w:val="20"/>
              </w:rPr>
              <w:t xml:space="preserve"> (PJ</w:t>
            </w:r>
            <w:r w:rsidR="00F27088">
              <w:rPr>
                <w:bCs/>
                <w:sz w:val="20"/>
              </w:rPr>
              <w:t>/</w:t>
            </w:r>
            <w:r w:rsidR="00492C81" w:rsidRPr="00492C81">
              <w:rPr>
                <w:bCs/>
                <w:sz w:val="20"/>
              </w:rPr>
              <w:t>year)</w:t>
            </w:r>
          </w:p>
          <w:p w14:paraId="08E4E918" w14:textId="51DC9781" w:rsidR="004F043C" w:rsidRPr="00332A62" w:rsidRDefault="00056E2A" w:rsidP="00924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RCBSM</w:t>
            </w:r>
            <w:r w:rsidR="00924D6C" w:rsidRPr="00332A62">
              <w:rPr>
                <w:b/>
                <w:sz w:val="20"/>
              </w:rPr>
              <w:t>-specific outputs</w:t>
            </w:r>
          </w:p>
          <w:p w14:paraId="651FCAB8" w14:textId="058E86AF" w:rsidR="008307BE" w:rsidRPr="00492C81" w:rsidRDefault="0020695C" w:rsidP="00492C81">
            <w:pPr>
              <w:pStyle w:val="ListParagraph"/>
              <w:numPr>
                <w:ilvl w:val="0"/>
                <w:numId w:val="14"/>
              </w:numPr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bCs/>
                <w:sz w:val="20"/>
              </w:rPr>
              <w:t>Investment</w:t>
            </w:r>
            <w:r w:rsidR="00492C81" w:rsidRPr="00492C81">
              <w:rPr>
                <w:bCs/>
                <w:sz w:val="20"/>
              </w:rPr>
              <w:t xml:space="preserve"> and retirement in capacity terms by time period, technology type and region</w:t>
            </w:r>
          </w:p>
          <w:p w14:paraId="67EF47E2" w14:textId="323543F1" w:rsidR="00492C81" w:rsidRDefault="00492C81" w:rsidP="00492C81">
            <w:pPr>
              <w:pStyle w:val="ListParagraph"/>
              <w:numPr>
                <w:ilvl w:val="0"/>
                <w:numId w:val="14"/>
              </w:numPr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92C81">
              <w:rPr>
                <w:sz w:val="20"/>
              </w:rPr>
              <w:t xml:space="preserve">Aggregate CAPEX and OPEX by time period, </w:t>
            </w:r>
            <w:proofErr w:type="spellStart"/>
            <w:r w:rsidRPr="00492C81">
              <w:rPr>
                <w:sz w:val="20"/>
              </w:rPr>
              <w:t>timeslice</w:t>
            </w:r>
            <w:proofErr w:type="spellEnd"/>
            <w:r w:rsidRPr="00492C81">
              <w:rPr>
                <w:sz w:val="20"/>
              </w:rPr>
              <w:t xml:space="preserve"> and region</w:t>
            </w:r>
          </w:p>
          <w:p w14:paraId="56381841" w14:textId="47D190B6" w:rsidR="00492C81" w:rsidRPr="00492C81" w:rsidRDefault="00492C81" w:rsidP="0020695C">
            <w:pPr>
              <w:pStyle w:val="ListParagraph"/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6A423C06" w14:textId="193E4B9C" w:rsidR="008C222E" w:rsidRPr="008E59EF" w:rsidRDefault="00AD18BB" w:rsidP="008E59EF">
      <w:pPr>
        <w:pStyle w:val="Heading1"/>
      </w:pPr>
      <w:r>
        <w:t>References</w:t>
      </w:r>
    </w:p>
    <w:p w14:paraId="4631E014" w14:textId="2C546A77" w:rsidR="00492C81" w:rsidRDefault="0063764A" w:rsidP="00492C81">
      <w:pPr>
        <w:pStyle w:val="ListParagraph"/>
        <w:numPr>
          <w:ilvl w:val="0"/>
          <w:numId w:val="2"/>
        </w:numPr>
      </w:pPr>
      <w:r w:rsidRPr="00FE15C9">
        <w:rPr>
          <w:rFonts w:cs="Stone Sans ITC TT"/>
          <w:sz w:val="18"/>
          <w:szCs w:val="18"/>
        </w:rPr>
        <w:t>IEA, Technology Roadmap Energy-efficient Buildings: Heating and Cooling Equipment</w:t>
      </w:r>
      <w:r>
        <w:rPr>
          <w:rFonts w:cs="Stone Sans ITC TT"/>
          <w:sz w:val="18"/>
          <w:szCs w:val="18"/>
        </w:rPr>
        <w:t>, 2011</w:t>
      </w:r>
      <w:r w:rsidR="00492C81">
        <w:t>.</w:t>
      </w:r>
    </w:p>
    <w:p w14:paraId="54CCF8E3" w14:textId="5E601B6C" w:rsidR="00B552BB" w:rsidRPr="0063764A" w:rsidRDefault="0063764A" w:rsidP="00B552BB">
      <w:pPr>
        <w:pStyle w:val="ListParagraph"/>
        <w:numPr>
          <w:ilvl w:val="0"/>
          <w:numId w:val="2"/>
        </w:numPr>
        <w:rPr>
          <w:rFonts w:cs="Stone Sans ITC TT"/>
          <w:sz w:val="18"/>
          <w:szCs w:val="18"/>
        </w:rPr>
      </w:pPr>
      <w:r w:rsidRPr="0063764A">
        <w:rPr>
          <w:rFonts w:cs="Stone Sans ITC TT"/>
          <w:sz w:val="18"/>
          <w:szCs w:val="18"/>
        </w:rPr>
        <w:t>The Global Energy Assessment (GEA) Toward a Sustainable Futur</w:t>
      </w:r>
      <w:r>
        <w:rPr>
          <w:rFonts w:cs="Stone Sans ITC TT"/>
          <w:sz w:val="18"/>
          <w:szCs w:val="18"/>
        </w:rPr>
        <w:t xml:space="preserve">e, Chapter </w:t>
      </w:r>
      <w:proofErr w:type="gramStart"/>
      <w:r>
        <w:rPr>
          <w:rFonts w:cs="Stone Sans ITC TT"/>
          <w:sz w:val="18"/>
          <w:szCs w:val="18"/>
        </w:rPr>
        <w:t>10 :</w:t>
      </w:r>
      <w:proofErr w:type="gramEnd"/>
      <w:r>
        <w:rPr>
          <w:rFonts w:cs="Stone Sans ITC TT"/>
          <w:sz w:val="18"/>
          <w:szCs w:val="18"/>
        </w:rPr>
        <w:t xml:space="preserve"> </w:t>
      </w:r>
      <w:r w:rsidRPr="00FE15C9">
        <w:rPr>
          <w:rFonts w:cs="Stone Sans ITC TT"/>
          <w:sz w:val="18"/>
          <w:szCs w:val="18"/>
        </w:rPr>
        <w:t>Energy End-Use: Buildings</w:t>
      </w:r>
      <w:r w:rsidR="00B552BB" w:rsidRPr="0063764A">
        <w:rPr>
          <w:rFonts w:cs="Stone Sans ITC TT"/>
          <w:sz w:val="18"/>
          <w:szCs w:val="18"/>
        </w:rPr>
        <w:t>, 2016.</w:t>
      </w:r>
    </w:p>
    <w:p w14:paraId="5B227AC7" w14:textId="77777777" w:rsidR="00B552BB" w:rsidRDefault="00B552BB" w:rsidP="00A93C13">
      <w:pPr>
        <w:pStyle w:val="ListParagraph"/>
      </w:pPr>
    </w:p>
    <w:sectPr w:rsidR="00B552BB" w:rsidSect="00B40D4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one Sans ITC TT">
    <w:altName w:val="Stone Sans ITC T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 Sans ITC Semi">
    <w:altName w:val="Stone Sans ITC Sem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C2A2F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7EDC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206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36C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8EBB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848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CA69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221C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FED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F874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B403DC"/>
    <w:multiLevelType w:val="hybridMultilevel"/>
    <w:tmpl w:val="D3AA9984"/>
    <w:lvl w:ilvl="0" w:tplc="2A86CC3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F250B5"/>
    <w:multiLevelType w:val="hybridMultilevel"/>
    <w:tmpl w:val="0660C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54012"/>
    <w:multiLevelType w:val="hybridMultilevel"/>
    <w:tmpl w:val="A2284E56"/>
    <w:lvl w:ilvl="0" w:tplc="CE12FF28">
      <w:start w:val="1"/>
      <w:numFmt w:val="decimal"/>
      <w:lvlText w:val="[%1]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922FA"/>
    <w:multiLevelType w:val="hybridMultilevel"/>
    <w:tmpl w:val="80A82A06"/>
    <w:lvl w:ilvl="0" w:tplc="2A86CC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D1E43"/>
    <w:multiLevelType w:val="hybridMultilevel"/>
    <w:tmpl w:val="42727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2C4C"/>
    <w:multiLevelType w:val="hybridMultilevel"/>
    <w:tmpl w:val="31AE28DE"/>
    <w:lvl w:ilvl="0" w:tplc="2A86CC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3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2E"/>
    <w:rsid w:val="00056E2A"/>
    <w:rsid w:val="00064BD4"/>
    <w:rsid w:val="00065A4B"/>
    <w:rsid w:val="00080AAA"/>
    <w:rsid w:val="00092CE5"/>
    <w:rsid w:val="000B73DA"/>
    <w:rsid w:val="000C0438"/>
    <w:rsid w:val="000D28D3"/>
    <w:rsid w:val="000D79BD"/>
    <w:rsid w:val="000E25E5"/>
    <w:rsid w:val="000E28BA"/>
    <w:rsid w:val="00127480"/>
    <w:rsid w:val="00132BBF"/>
    <w:rsid w:val="00161989"/>
    <w:rsid w:val="001A61D5"/>
    <w:rsid w:val="001C40EA"/>
    <w:rsid w:val="001F5628"/>
    <w:rsid w:val="0020695C"/>
    <w:rsid w:val="002668D9"/>
    <w:rsid w:val="00272A55"/>
    <w:rsid w:val="002846F1"/>
    <w:rsid w:val="002A7CB6"/>
    <w:rsid w:val="002B31FA"/>
    <w:rsid w:val="002B47CA"/>
    <w:rsid w:val="002C2808"/>
    <w:rsid w:val="002E665D"/>
    <w:rsid w:val="002E71D3"/>
    <w:rsid w:val="00332A62"/>
    <w:rsid w:val="00332CB4"/>
    <w:rsid w:val="003509F5"/>
    <w:rsid w:val="0035794E"/>
    <w:rsid w:val="00363DFD"/>
    <w:rsid w:val="00391E10"/>
    <w:rsid w:val="003A5AF5"/>
    <w:rsid w:val="003D13E3"/>
    <w:rsid w:val="003F1439"/>
    <w:rsid w:val="004026BC"/>
    <w:rsid w:val="004502A1"/>
    <w:rsid w:val="004602E5"/>
    <w:rsid w:val="00464A2B"/>
    <w:rsid w:val="00492C81"/>
    <w:rsid w:val="004D3496"/>
    <w:rsid w:val="004F043C"/>
    <w:rsid w:val="00535401"/>
    <w:rsid w:val="00536100"/>
    <w:rsid w:val="0053686D"/>
    <w:rsid w:val="00542C27"/>
    <w:rsid w:val="00563825"/>
    <w:rsid w:val="00593577"/>
    <w:rsid w:val="005F0178"/>
    <w:rsid w:val="00604186"/>
    <w:rsid w:val="00612391"/>
    <w:rsid w:val="0063764A"/>
    <w:rsid w:val="00664A3B"/>
    <w:rsid w:val="006964BF"/>
    <w:rsid w:val="006D00B0"/>
    <w:rsid w:val="00720E6B"/>
    <w:rsid w:val="007307B4"/>
    <w:rsid w:val="00734EA8"/>
    <w:rsid w:val="00743B6B"/>
    <w:rsid w:val="00753277"/>
    <w:rsid w:val="00756CD1"/>
    <w:rsid w:val="007D7D52"/>
    <w:rsid w:val="00816CCA"/>
    <w:rsid w:val="008307BE"/>
    <w:rsid w:val="00832154"/>
    <w:rsid w:val="0083428D"/>
    <w:rsid w:val="00834338"/>
    <w:rsid w:val="00846828"/>
    <w:rsid w:val="00846A53"/>
    <w:rsid w:val="0085474F"/>
    <w:rsid w:val="008608EC"/>
    <w:rsid w:val="00886EC9"/>
    <w:rsid w:val="00892ABF"/>
    <w:rsid w:val="008C222E"/>
    <w:rsid w:val="008E59EF"/>
    <w:rsid w:val="008F6521"/>
    <w:rsid w:val="00924D6C"/>
    <w:rsid w:val="00931904"/>
    <w:rsid w:val="0099033D"/>
    <w:rsid w:val="00A05764"/>
    <w:rsid w:val="00A83B20"/>
    <w:rsid w:val="00A93C13"/>
    <w:rsid w:val="00A94B4D"/>
    <w:rsid w:val="00AA7532"/>
    <w:rsid w:val="00AB696E"/>
    <w:rsid w:val="00AD09E5"/>
    <w:rsid w:val="00AD18BB"/>
    <w:rsid w:val="00AF72EF"/>
    <w:rsid w:val="00B0128D"/>
    <w:rsid w:val="00B37B4E"/>
    <w:rsid w:val="00B40D4B"/>
    <w:rsid w:val="00B552BB"/>
    <w:rsid w:val="00B627E4"/>
    <w:rsid w:val="00B676AC"/>
    <w:rsid w:val="00B94CFD"/>
    <w:rsid w:val="00BB3233"/>
    <w:rsid w:val="00BB43E8"/>
    <w:rsid w:val="00C37494"/>
    <w:rsid w:val="00C808FB"/>
    <w:rsid w:val="00C9210A"/>
    <w:rsid w:val="00CB0BB2"/>
    <w:rsid w:val="00CB3761"/>
    <w:rsid w:val="00CB3911"/>
    <w:rsid w:val="00CB5B77"/>
    <w:rsid w:val="00CC008C"/>
    <w:rsid w:val="00CC6FC1"/>
    <w:rsid w:val="00CD2C72"/>
    <w:rsid w:val="00CD6E5A"/>
    <w:rsid w:val="00CE5F76"/>
    <w:rsid w:val="00CE6FBE"/>
    <w:rsid w:val="00CF6F5F"/>
    <w:rsid w:val="00D1043F"/>
    <w:rsid w:val="00D15AC7"/>
    <w:rsid w:val="00D541F8"/>
    <w:rsid w:val="00D611AA"/>
    <w:rsid w:val="00D82292"/>
    <w:rsid w:val="00DB2A36"/>
    <w:rsid w:val="00DB5B27"/>
    <w:rsid w:val="00DD6AE1"/>
    <w:rsid w:val="00DE1595"/>
    <w:rsid w:val="00E049F3"/>
    <w:rsid w:val="00E86F81"/>
    <w:rsid w:val="00EB0D1E"/>
    <w:rsid w:val="00ED6AB3"/>
    <w:rsid w:val="00F06435"/>
    <w:rsid w:val="00F27088"/>
    <w:rsid w:val="00F66A00"/>
    <w:rsid w:val="00F9786E"/>
    <w:rsid w:val="00FA2230"/>
    <w:rsid w:val="00FA7428"/>
    <w:rsid w:val="00FC2259"/>
    <w:rsid w:val="00FD1289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5D788"/>
  <w15:docId w15:val="{9AD09EC6-C39A-428B-AEC5-7D78D945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ABF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2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2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2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E6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1">
    <w:name w:val="Grid Table 2 - Accent 51"/>
    <w:basedOn w:val="TableNormal"/>
    <w:uiPriority w:val="47"/>
    <w:rsid w:val="00CE6FBE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31">
    <w:name w:val="Grid Table 31"/>
    <w:basedOn w:val="TableNormal"/>
    <w:uiPriority w:val="48"/>
    <w:rsid w:val="00CE6FB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21">
    <w:name w:val="Grid Table 21"/>
    <w:basedOn w:val="TableNormal"/>
    <w:uiPriority w:val="47"/>
    <w:rsid w:val="00CE6FB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BB32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628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qFormat/>
    <w:rsid w:val="00931904"/>
    <w:pPr>
      <w:spacing w:before="10" w:after="10"/>
      <w:ind w:left="720" w:firstLine="720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DD6AE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06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4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043C"/>
  </w:style>
  <w:style w:type="character" w:customStyle="1" w:styleId="A2">
    <w:name w:val="A2"/>
    <w:uiPriority w:val="99"/>
    <w:rsid w:val="00612391"/>
    <w:rPr>
      <w:rFonts w:cs="Stone Sans ITC TT"/>
      <w:color w:val="000000"/>
      <w:sz w:val="10"/>
      <w:szCs w:val="10"/>
    </w:rPr>
  </w:style>
  <w:style w:type="paragraph" w:customStyle="1" w:styleId="Default">
    <w:name w:val="Default"/>
    <w:rsid w:val="00B37B4E"/>
    <w:pPr>
      <w:autoSpaceDE w:val="0"/>
      <w:autoSpaceDN w:val="0"/>
      <w:adjustRightInd w:val="0"/>
    </w:pPr>
    <w:rPr>
      <w:rFonts w:ascii="Stone Sans ITC Semi" w:hAnsi="Stone Sans ITC Semi" w:cs="Stone Sans ITC Semi"/>
      <w:color w:val="000000"/>
    </w:rPr>
  </w:style>
  <w:style w:type="character" w:customStyle="1" w:styleId="apple-converted-space">
    <w:name w:val="apple-converted-space"/>
    <w:basedOn w:val="DefaultParagraphFont"/>
    <w:rsid w:val="00637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Giarola, Sara</cp:lastModifiedBy>
  <cp:revision>4</cp:revision>
  <cp:lastPrinted>2016-03-31T09:37:00Z</cp:lastPrinted>
  <dcterms:created xsi:type="dcterms:W3CDTF">2016-12-15T11:55:00Z</dcterms:created>
  <dcterms:modified xsi:type="dcterms:W3CDTF">2016-12-16T15:46:00Z</dcterms:modified>
</cp:coreProperties>
</file>