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FF602" w14:textId="76F4C17D" w:rsidR="008C222E" w:rsidRPr="00542C27" w:rsidRDefault="008C222E" w:rsidP="00542C27">
      <w:pPr>
        <w:jc w:val="center"/>
        <w:rPr>
          <w:b/>
        </w:rPr>
      </w:pPr>
      <w:r w:rsidRPr="00542C27">
        <w:rPr>
          <w:b/>
        </w:rPr>
        <w:t>MUSE-SGI</w:t>
      </w:r>
      <w:r w:rsidR="00542C27" w:rsidRPr="00542C27">
        <w:rPr>
          <w:b/>
        </w:rPr>
        <w:t xml:space="preserve"> </w:t>
      </w:r>
      <w:r w:rsidR="00CC6FC1">
        <w:rPr>
          <w:b/>
        </w:rPr>
        <w:t>Non-</w:t>
      </w:r>
      <w:r w:rsidR="00720E6B">
        <w:rPr>
          <w:b/>
        </w:rPr>
        <w:t>Technical</w:t>
      </w:r>
      <w:r w:rsidR="00CC6FC1">
        <w:rPr>
          <w:b/>
        </w:rPr>
        <w:t xml:space="preserve"> </w:t>
      </w:r>
      <w:r w:rsidR="00720E6B">
        <w:rPr>
          <w:b/>
        </w:rPr>
        <w:t>Overview</w:t>
      </w:r>
    </w:p>
    <w:p w14:paraId="33FC2426" w14:textId="036784C1" w:rsidR="008C222E" w:rsidRDefault="00F06435" w:rsidP="00542C27">
      <w:pPr>
        <w:jc w:val="center"/>
        <w:rPr>
          <w:b/>
        </w:rPr>
      </w:pPr>
      <w:r>
        <w:rPr>
          <w:b/>
        </w:rPr>
        <w:t xml:space="preserve">Biorefinery and </w:t>
      </w:r>
      <w:r w:rsidR="00D15AC7">
        <w:rPr>
          <w:b/>
        </w:rPr>
        <w:t>Refinery</w:t>
      </w:r>
      <w:r w:rsidR="00756CD1">
        <w:rPr>
          <w:b/>
        </w:rPr>
        <w:t xml:space="preserve"> Sector</w:t>
      </w:r>
      <w:r w:rsidR="008C222E" w:rsidRPr="00542C27">
        <w:rPr>
          <w:b/>
        </w:rPr>
        <w:t xml:space="preserve"> Module</w:t>
      </w:r>
    </w:p>
    <w:p w14:paraId="6B03A5C9" w14:textId="16C69EBA" w:rsidR="008C222E" w:rsidRDefault="00CB3911" w:rsidP="008C222E">
      <w:pPr>
        <w:pStyle w:val="Heading1"/>
      </w:pPr>
      <w:r>
        <w:t>Context</w:t>
      </w:r>
    </w:p>
    <w:p w14:paraId="52F8DC86" w14:textId="6C668C0D" w:rsidR="004A6C80" w:rsidRDefault="004A6C80" w:rsidP="00FA7428">
      <w:r w:rsidRPr="004A6C80">
        <w:t>As it provides fuels and petrochemicals for every sector of the economy, the refinery sector presents extremely complex interlinks across the whole energy system. Refineries are one of the world’s most energy-intensive industries, accounting for about 8 % of delivered industrial energy consumption in OECD countries and about 6 % of delivered industrial energy consumption in non-OECD [1]. Worldwide, petroleum and other liquid fuels are the dominant source of transportation energy with a share of 96 % in 2012</w:t>
      </w:r>
      <w:r>
        <w:t xml:space="preserve"> where a further growth</w:t>
      </w:r>
      <w:r w:rsidRPr="004A6C80">
        <w:t xml:space="preserve"> of the world transportation sector liquid fuels consumption is expected [2].</w:t>
      </w:r>
    </w:p>
    <w:p w14:paraId="5605B064" w14:textId="77777777" w:rsidR="004A6C80" w:rsidRDefault="004A6C80" w:rsidP="004A6C80">
      <w:pPr>
        <w:pStyle w:val="Heading1"/>
        <w:spacing w:before="0"/>
        <w:rPr>
          <w:rFonts w:asciiTheme="minorHAnsi" w:eastAsiaTheme="minorHAnsi" w:hAnsiTheme="minorHAnsi" w:cstheme="minorBidi"/>
          <w:color w:val="auto"/>
          <w:sz w:val="24"/>
          <w:szCs w:val="24"/>
        </w:rPr>
      </w:pPr>
      <w:r w:rsidRPr="004A6C80">
        <w:rPr>
          <w:rFonts w:asciiTheme="minorHAnsi" w:eastAsiaTheme="minorHAnsi" w:hAnsiTheme="minorHAnsi" w:cstheme="minorBidi"/>
          <w:color w:val="auto"/>
          <w:sz w:val="24"/>
          <w:szCs w:val="24"/>
        </w:rPr>
        <w:t>The increasing need for fuels and petrochemicals as well as stricter GHG emissions cuts, urge this sector to a dramatic technological change and innovation. On the one side, the refining industry needs to keep pace with the increasing demand through new investments. On the other side, it needs to adjust not only to economic factors but also to the changes in the regulation framework. In fact, stricter limits to GHG emissions as well as energy security concerns are calling for technological innovation in the production of fuels and chemicals from renewable sources through advanced biorefineries [1].</w:t>
      </w:r>
    </w:p>
    <w:p w14:paraId="421BE821" w14:textId="334CD8E6" w:rsidR="00846828" w:rsidRDefault="00ED6AB3" w:rsidP="001A61D5">
      <w:pPr>
        <w:pStyle w:val="Heading1"/>
      </w:pPr>
      <w:r>
        <w:t>Problem Statement</w:t>
      </w:r>
    </w:p>
    <w:p w14:paraId="1B4D80F7" w14:textId="0ABB64DD" w:rsidR="001A61D5" w:rsidRDefault="00D15AC7" w:rsidP="00D15AC7">
      <w:r w:rsidRPr="00132BBF">
        <w:t xml:space="preserve">Within the MUSE modelling environment, the </w:t>
      </w:r>
      <w:r w:rsidR="00272A55">
        <w:t xml:space="preserve">biorefinery and </w:t>
      </w:r>
      <w:r>
        <w:t>refinery</w:t>
      </w:r>
      <w:r w:rsidRPr="00132BBF">
        <w:t xml:space="preserve"> sector module</w:t>
      </w:r>
      <w:r>
        <w:t>,</w:t>
      </w:r>
      <w:r w:rsidRPr="00132BBF">
        <w:t xml:space="preserve"> </w:t>
      </w:r>
      <w:r w:rsidR="00272A55">
        <w:t>B</w:t>
      </w:r>
      <w:r>
        <w:t>RSM,</w:t>
      </w:r>
      <w:r w:rsidRPr="00132BBF">
        <w:t xml:space="preserve"> is designed to</w:t>
      </w:r>
      <w:r w:rsidR="001A61D5">
        <w:t xml:space="preserve"> </w:t>
      </w:r>
      <w:r w:rsidRPr="00D15AC7">
        <w:t xml:space="preserve">model </w:t>
      </w:r>
      <w:r w:rsidR="001A61D5">
        <w:t xml:space="preserve">the </w:t>
      </w:r>
      <w:r w:rsidRPr="00D15AC7">
        <w:t xml:space="preserve">production and marketing of </w:t>
      </w:r>
      <w:r w:rsidR="004A6C80">
        <w:t>fuels</w:t>
      </w:r>
      <w:r w:rsidRPr="00D15AC7">
        <w:t xml:space="preserve">, including petroleum </w:t>
      </w:r>
      <w:r w:rsidR="00272A55">
        <w:t xml:space="preserve">and non-petroleum </w:t>
      </w:r>
      <w:r w:rsidRPr="00D15AC7">
        <w:t>products</w:t>
      </w:r>
      <w:r w:rsidR="00272A55">
        <w:t xml:space="preserve"> as well as commodities obtained from renewable sources</w:t>
      </w:r>
      <w:r w:rsidRPr="00D15AC7">
        <w:t xml:space="preserve">. The purpose of the </w:t>
      </w:r>
      <w:r w:rsidR="002668D9">
        <w:t>B</w:t>
      </w:r>
      <w:r w:rsidRPr="00D15AC7">
        <w:t xml:space="preserve">RSM is to project </w:t>
      </w:r>
      <w:r w:rsidR="004A6C80">
        <w:t>fuel</w:t>
      </w:r>
      <w:r>
        <w:t xml:space="preserve"> prices, production </w:t>
      </w:r>
      <w:r w:rsidR="004A6C80">
        <w:t>levels</w:t>
      </w:r>
      <w:r>
        <w:t xml:space="preserve"> based on primary energy prices, process technologies,</w:t>
      </w:r>
      <w:r w:rsidRPr="005F7CFE">
        <w:t xml:space="preserve"> </w:t>
      </w:r>
      <w:r w:rsidRPr="00D15AC7">
        <w:t>energy policies and regulations</w:t>
      </w:r>
      <w:r>
        <w:t xml:space="preserve"> according to the market demands</w:t>
      </w:r>
      <w:r w:rsidRPr="00132BBF">
        <w:t>, disaggregated into regions and temporally resolved into timeslices.</w:t>
      </w:r>
      <w:r w:rsidR="001A61D5">
        <w:t xml:space="preserve"> </w:t>
      </w:r>
      <w:r w:rsidRPr="00D15AC7">
        <w:t xml:space="preserve">In addition, the </w:t>
      </w:r>
      <w:r w:rsidR="00272A55">
        <w:t>B</w:t>
      </w:r>
      <w:r>
        <w:t>RMS</w:t>
      </w:r>
      <w:r w:rsidRPr="00D15AC7">
        <w:t xml:space="preserve"> estimates </w:t>
      </w:r>
      <w:r>
        <w:t xml:space="preserve">the </w:t>
      </w:r>
      <w:r w:rsidRPr="00D15AC7">
        <w:t>capacity expansion</w:t>
      </w:r>
      <w:r>
        <w:t xml:space="preserve"> </w:t>
      </w:r>
      <w:r w:rsidR="005B3016">
        <w:t>required to meet the</w:t>
      </w:r>
      <w:bookmarkStart w:id="0" w:name="_GoBack"/>
      <w:bookmarkEnd w:id="0"/>
      <w:r w:rsidR="00272A55">
        <w:t xml:space="preserve"> demand, considering the decommissioning profile of the existing stock </w:t>
      </w:r>
      <w:r>
        <w:t xml:space="preserve">and simulated real-time decision-making of </w:t>
      </w:r>
      <w:r w:rsidR="002C2808">
        <w:t>the</w:t>
      </w:r>
      <w:r w:rsidR="00065A4B">
        <w:t xml:space="preserve"> asset</w:t>
      </w:r>
      <w:r w:rsidR="002C2808">
        <w:t xml:space="preserve"> </w:t>
      </w:r>
      <w:r w:rsidR="00272A55">
        <w:t>operation</w:t>
      </w:r>
      <w:r w:rsidR="00272A55" w:rsidRPr="00D15AC7">
        <w:t xml:space="preserve"> </w:t>
      </w:r>
      <w:r w:rsidRPr="00D15AC7">
        <w:t>a</w:t>
      </w:r>
      <w:r>
        <w:t>s well as</w:t>
      </w:r>
      <w:r w:rsidRPr="00D15AC7">
        <w:t xml:space="preserve"> the consumption of primary energy</w:t>
      </w:r>
      <w:r>
        <w:t xml:space="preserve">. </w:t>
      </w:r>
      <w:r w:rsidR="002C2808">
        <w:t>In doing so, the BRSM is designed to simulate real decision-making</w:t>
      </w:r>
      <w:r w:rsidR="002668D9">
        <w:t xml:space="preserve"> and uses a</w:t>
      </w:r>
      <w:r w:rsidR="001A61D5" w:rsidRPr="00132BBF">
        <w:t xml:space="preserve"> bottom-up </w:t>
      </w:r>
      <w:r w:rsidR="002668D9">
        <w:t xml:space="preserve">approach </w:t>
      </w:r>
      <w:r w:rsidR="001A61D5" w:rsidRPr="00132BBF">
        <w:t>to assess</w:t>
      </w:r>
      <w:r w:rsidR="001A61D5">
        <w:t xml:space="preserve"> the characteristics of different refining </w:t>
      </w:r>
      <w:r w:rsidR="002C2808">
        <w:t xml:space="preserve">and biorefining </w:t>
      </w:r>
      <w:r w:rsidR="001A61D5">
        <w:t xml:space="preserve">processes, </w:t>
      </w:r>
      <w:r w:rsidR="002668D9">
        <w:t xml:space="preserve">and capturing </w:t>
      </w:r>
      <w:r w:rsidR="001A61D5" w:rsidRPr="00132BBF">
        <w:t>effects of changes in technology performance and policies.</w:t>
      </w:r>
    </w:p>
    <w:p w14:paraId="2E07BA75" w14:textId="24FC9C93" w:rsidR="00D611AA" w:rsidRDefault="00D611AA" w:rsidP="00D611AA">
      <w:pPr>
        <w:pStyle w:val="Heading1"/>
      </w:pPr>
      <w:r>
        <w:t>Module Approach</w:t>
      </w:r>
    </w:p>
    <w:p w14:paraId="1899B886" w14:textId="74E295E8" w:rsidR="00664A3B" w:rsidRDefault="00132BBF" w:rsidP="001F5628">
      <w:r w:rsidRPr="00132BBF">
        <w:t xml:space="preserve">The </w:t>
      </w:r>
      <w:r w:rsidR="00CC5A21">
        <w:t>B</w:t>
      </w:r>
      <w:r w:rsidR="00664A3B">
        <w:t>R</w:t>
      </w:r>
      <w:r w:rsidR="00C37494">
        <w:t>SM</w:t>
      </w:r>
      <w:r w:rsidRPr="00132BBF">
        <w:t xml:space="preserve"> is based on a two-step simulation approach to model </w:t>
      </w:r>
      <w:r w:rsidR="00664A3B">
        <w:t>investment decisions</w:t>
      </w:r>
      <w:r w:rsidRPr="00132BBF">
        <w:t xml:space="preserve"> and operating </w:t>
      </w:r>
      <w:r w:rsidR="00664A3B">
        <w:t>strategies</w:t>
      </w:r>
      <w:r w:rsidRPr="00132BBF">
        <w:t xml:space="preserve"> </w:t>
      </w:r>
      <w:r w:rsidR="002C2808">
        <w:t>and represent</w:t>
      </w:r>
      <w:r w:rsidRPr="00132BBF">
        <w:t xml:space="preserve"> real investors' behaviour in the market.</w:t>
      </w:r>
      <w:r w:rsidR="00161989">
        <w:t xml:space="preserve"> </w:t>
      </w:r>
      <w:r w:rsidRPr="00132BBF">
        <w:t xml:space="preserve">A merit-order approach based on </w:t>
      </w:r>
      <w:r w:rsidR="00EB0D1E">
        <w:t>net present value (NPV)</w:t>
      </w:r>
      <w:r w:rsidR="00F66A00">
        <w:t xml:space="preserve"> </w:t>
      </w:r>
      <w:r w:rsidRPr="00132BBF">
        <w:t>is used.</w:t>
      </w:r>
    </w:p>
    <w:p w14:paraId="4D07621A" w14:textId="7C486CF8" w:rsidR="00664A3B" w:rsidRDefault="00664A3B" w:rsidP="001F5628">
      <w:r>
        <w:t xml:space="preserve">The production of </w:t>
      </w:r>
      <w:r w:rsidR="004A6C80">
        <w:t>fuels</w:t>
      </w:r>
      <w:r>
        <w:t xml:space="preserve"> is carried out based</w:t>
      </w:r>
      <w:r w:rsidR="00132BBF" w:rsidRPr="00132BBF">
        <w:t xml:space="preserve"> </w:t>
      </w:r>
      <w:r>
        <w:t xml:space="preserve">on </w:t>
      </w:r>
      <w:r w:rsidR="00132BBF" w:rsidRPr="00132BBF">
        <w:t xml:space="preserve">the rule </w:t>
      </w:r>
      <w:r w:rsidR="0077597E">
        <w:t>highest NPV</w:t>
      </w:r>
      <w:r w:rsidR="004D3496" w:rsidRPr="00132BBF">
        <w:t xml:space="preserve"> </w:t>
      </w:r>
      <w:r w:rsidR="00132BBF" w:rsidRPr="00132BBF">
        <w:t>comes first’; as such</w:t>
      </w:r>
      <w:r w:rsidR="00C37494">
        <w:t>,</w:t>
      </w:r>
      <w:r w:rsidR="004A6C80">
        <w:t xml:space="preserve"> the demand </w:t>
      </w:r>
      <w:r>
        <w:t>is first covered by the process</w:t>
      </w:r>
      <w:r w:rsidR="004A6C80">
        <w:t>es</w:t>
      </w:r>
      <w:r>
        <w:t xml:space="preserve"> with the </w:t>
      </w:r>
      <w:r w:rsidR="0077597E">
        <w:t>highest profit</w:t>
      </w:r>
      <w:r>
        <w:t xml:space="preserve"> </w:t>
      </w:r>
      <w:r w:rsidR="00132BBF" w:rsidRPr="00132BBF">
        <w:t xml:space="preserve">and </w:t>
      </w:r>
      <w:r w:rsidR="00C37494">
        <w:t>then from</w:t>
      </w:r>
      <w:r w:rsidR="00132BBF" w:rsidRPr="00132BBF">
        <w:t xml:space="preserve"> the </w:t>
      </w:r>
      <w:r w:rsidR="0077597E">
        <w:t>less profitable ones</w:t>
      </w:r>
      <w:r w:rsidR="00C37494">
        <w:t xml:space="preserve"> until demand is fulfilled</w:t>
      </w:r>
      <w:r w:rsidR="00132BBF" w:rsidRPr="00132BBF">
        <w:t>.</w:t>
      </w:r>
      <w:r w:rsidR="000C0438">
        <w:t xml:space="preserve"> Based on the </w:t>
      </w:r>
      <w:r w:rsidR="00FF6121">
        <w:t>mix of</w:t>
      </w:r>
      <w:r w:rsidR="000C0438">
        <w:t xml:space="preserve"> </w:t>
      </w:r>
      <w:r w:rsidR="00FF6121">
        <w:t>technologies used,</w:t>
      </w:r>
      <w:r w:rsidR="000C0438">
        <w:t xml:space="preserve"> the required </w:t>
      </w:r>
      <w:r w:rsidR="00161989">
        <w:t xml:space="preserve">amount of primary </w:t>
      </w:r>
      <w:r w:rsidR="00FF6121">
        <w:t>energy is determined</w:t>
      </w:r>
      <w:r w:rsidR="00161989">
        <w:t>.</w:t>
      </w:r>
    </w:p>
    <w:p w14:paraId="154F8756" w14:textId="02DF4642" w:rsidR="00B0128D" w:rsidRDefault="00132BBF" w:rsidP="001F5628">
      <w:r w:rsidRPr="00132BBF">
        <w:t>The market strike price is determined at the balance point between demand and supply</w:t>
      </w:r>
      <w:r w:rsidR="00065A4B">
        <w:t>.</w:t>
      </w:r>
      <w:r w:rsidRPr="00132BBF">
        <w:t xml:space="preserve"> </w:t>
      </w:r>
      <w:r w:rsidR="00065A4B">
        <w:t>Prices</w:t>
      </w:r>
      <w:r w:rsidR="000C0438">
        <w:t xml:space="preserve"> </w:t>
      </w:r>
      <w:r w:rsidR="00065A4B">
        <w:t xml:space="preserve">projections of </w:t>
      </w:r>
      <w:r w:rsidR="004A6C80">
        <w:t>fuels</w:t>
      </w:r>
      <w:r w:rsidR="00065A4B">
        <w:t xml:space="preserve"> </w:t>
      </w:r>
      <w:r w:rsidR="000C0438">
        <w:t xml:space="preserve">are determined </w:t>
      </w:r>
      <w:r w:rsidR="00065A4B">
        <w:t>from</w:t>
      </w:r>
      <w:r w:rsidR="000C0438">
        <w:t xml:space="preserve"> the technolog</w:t>
      </w:r>
      <w:r w:rsidR="00065A4B">
        <w:t>y mix and primary energy sources used to meet demand.</w:t>
      </w:r>
      <w:r w:rsidRPr="00132BBF">
        <w:t xml:space="preserve"> The decision on investment in new </w:t>
      </w:r>
      <w:r w:rsidR="00664A3B">
        <w:t>refineries</w:t>
      </w:r>
      <w:r w:rsidRPr="00132BBF">
        <w:t xml:space="preserve"> is only made on </w:t>
      </w:r>
      <w:r w:rsidR="00664A3B">
        <w:t>technologies</w:t>
      </w:r>
      <w:r w:rsidR="000C0438">
        <w:t xml:space="preserve"> that </w:t>
      </w:r>
      <w:r w:rsidR="002E665D">
        <w:t>are expected</w:t>
      </w:r>
      <w:r w:rsidRPr="00132BBF">
        <w:t xml:space="preserve"> </w:t>
      </w:r>
      <w:r w:rsidR="002E665D">
        <w:t xml:space="preserve">to </w:t>
      </w:r>
      <w:r w:rsidR="002E665D">
        <w:rPr>
          <w:sz w:val="23"/>
          <w:szCs w:val="23"/>
        </w:rPr>
        <w:t xml:space="preserve">garner sufficient revenue to support </w:t>
      </w:r>
      <w:r w:rsidR="000C0438">
        <w:rPr>
          <w:sz w:val="23"/>
          <w:szCs w:val="23"/>
        </w:rPr>
        <w:t>their</w:t>
      </w:r>
      <w:r w:rsidR="002E665D">
        <w:rPr>
          <w:sz w:val="23"/>
          <w:szCs w:val="23"/>
        </w:rPr>
        <w:t xml:space="preserve"> capital and operating requirements.</w:t>
      </w:r>
    </w:p>
    <w:p w14:paraId="3032A176" w14:textId="7DA6E9D5" w:rsidR="008C222E" w:rsidRDefault="008C222E" w:rsidP="008C222E">
      <w:pPr>
        <w:pStyle w:val="Heading1"/>
      </w:pPr>
      <w:r>
        <w:lastRenderedPageBreak/>
        <w:t>Relationship with MUSE Modules</w:t>
      </w:r>
    </w:p>
    <w:p w14:paraId="11F10E46" w14:textId="2B4302EB" w:rsidR="00FC2259" w:rsidRDefault="00132BBF" w:rsidP="00DD6AE1">
      <w:r w:rsidRPr="00132BBF">
        <w:t xml:space="preserve">The </w:t>
      </w:r>
      <w:r w:rsidR="00065A4B">
        <w:t>B</w:t>
      </w:r>
      <w:r w:rsidR="00CB3761">
        <w:t>R</w:t>
      </w:r>
      <w:r w:rsidR="00734EA8">
        <w:t>SM</w:t>
      </w:r>
      <w:r w:rsidRPr="00132BBF">
        <w:t xml:space="preserve"> module dynamically exchanges a set of variables with the Market Clearing Algorithm (</w:t>
      </w:r>
      <w:r w:rsidR="00F27088">
        <w:t>MCA</w:t>
      </w:r>
      <w:r w:rsidRPr="00132BBF">
        <w:t>) in MUSE to determine the price in every modelled region</w:t>
      </w:r>
      <w:r w:rsidR="00886EC9">
        <w:t xml:space="preserve"> per time period and timeslice</w:t>
      </w:r>
      <w:r w:rsidRPr="00132BBF">
        <w:t>. A snapshot of the data workflow for a generic iteration in a generic time period</w:t>
      </w:r>
      <w:r w:rsidR="00886EC9">
        <w:t>,</w:t>
      </w:r>
      <w:r w:rsidRPr="00132BBF">
        <w:t xml:space="preserve"> timeslice </w:t>
      </w:r>
      <w:r w:rsidR="00886EC9">
        <w:t xml:space="preserve">and region </w:t>
      </w:r>
      <w:r w:rsidRPr="00132BBF">
        <w:t xml:space="preserve">is shown in Figure </w:t>
      </w:r>
      <w:r w:rsidR="00F27088">
        <w:t>1.</w:t>
      </w:r>
      <w:r w:rsidR="00DD6AE1" w:rsidRPr="00DD6AE1">
        <w:t xml:space="preserve"> </w:t>
      </w:r>
      <w:r w:rsidR="00DD6AE1" w:rsidRPr="00132BBF">
        <w:t xml:space="preserve">The module uploads exogenous parameters for the techno-economic and environmental characterisation of each </w:t>
      </w:r>
      <w:r w:rsidR="00065A4B">
        <w:t>process</w:t>
      </w:r>
      <w:r w:rsidR="00065A4B" w:rsidRPr="00132BBF">
        <w:t xml:space="preserve"> </w:t>
      </w:r>
      <w:r w:rsidR="00DD6AE1" w:rsidRPr="00132BBF">
        <w:t>type per region</w:t>
      </w:r>
      <w:r w:rsidR="00065A4B">
        <w:t xml:space="preserve"> in the base year as well as projected improvements in the next simulation periods</w:t>
      </w:r>
      <w:r w:rsidR="00DD6AE1" w:rsidRPr="00132BBF">
        <w:t xml:space="preserve">. </w:t>
      </w:r>
      <w:r w:rsidR="00DD6AE1">
        <w:t>The full</w:t>
      </w:r>
      <w:r w:rsidR="00DD6AE1" w:rsidRPr="00132BBF">
        <w:t xml:space="preserve"> data exchange protocol </w:t>
      </w:r>
      <w:r w:rsidR="00DD6AE1">
        <w:t xml:space="preserve">between the </w:t>
      </w:r>
      <w:r w:rsidR="00065A4B">
        <w:t>B</w:t>
      </w:r>
      <w:r w:rsidR="00DD6AE1">
        <w:t>RSM and the next modules in MUSE is detailed in Table 1</w:t>
      </w:r>
      <w:r w:rsidR="00DD6AE1" w:rsidRPr="00132BBF">
        <w:t>.</w:t>
      </w:r>
    </w:p>
    <w:p w14:paraId="37C8EC68" w14:textId="69F9FAC6" w:rsidR="004F043C" w:rsidRDefault="004F043C" w:rsidP="00AA7532"/>
    <w:p w14:paraId="32F365FF" w14:textId="7F9618F8" w:rsidR="00F27088" w:rsidRDefault="004A6C80" w:rsidP="004A6C80">
      <w:pPr>
        <w:jc w:val="center"/>
      </w:pPr>
      <w:r>
        <w:rPr>
          <w:noProof/>
          <w:lang w:eastAsia="en-GB"/>
        </w:rPr>
        <w:drawing>
          <wp:inline distT="0" distB="0" distL="0" distR="0" wp14:anchorId="0D974E2C" wp14:editId="2059036B">
            <wp:extent cx="5256000" cy="2786356"/>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orefinery.png"/>
                    <pic:cNvPicPr/>
                  </pic:nvPicPr>
                  <pic:blipFill>
                    <a:blip r:embed="rId5">
                      <a:extLst>
                        <a:ext uri="{28A0092B-C50C-407E-A947-70E740481C1C}">
                          <a14:useLocalDpi xmlns:a14="http://schemas.microsoft.com/office/drawing/2010/main" val="0"/>
                        </a:ext>
                      </a:extLst>
                    </a:blip>
                    <a:stretch>
                      <a:fillRect/>
                    </a:stretch>
                  </pic:blipFill>
                  <pic:spPr>
                    <a:xfrm>
                      <a:off x="0" y="0"/>
                      <a:ext cx="5256000" cy="2786356"/>
                    </a:xfrm>
                    <a:prstGeom prst="rect">
                      <a:avLst/>
                    </a:prstGeom>
                  </pic:spPr>
                </pic:pic>
              </a:graphicData>
            </a:graphic>
          </wp:inline>
        </w:drawing>
      </w:r>
    </w:p>
    <w:p w14:paraId="29204F4D" w14:textId="62539FFC" w:rsidR="00C808FB" w:rsidRDefault="00DD6AE1" w:rsidP="00EF23C9">
      <w:pPr>
        <w:pStyle w:val="Caption1"/>
        <w:ind w:left="0" w:firstLine="0"/>
        <w:jc w:val="center"/>
      </w:pPr>
      <w:r>
        <w:t xml:space="preserve">Figure 1: Major interactions between </w:t>
      </w:r>
      <w:r w:rsidR="000F2ED1">
        <w:t>B</w:t>
      </w:r>
      <w:r>
        <w:t>RSM and the rest of MUSE</w:t>
      </w:r>
    </w:p>
    <w:p w14:paraId="7D88F2BF" w14:textId="77777777" w:rsidR="00EF23C9" w:rsidRDefault="00EF23C9" w:rsidP="00EF23C9">
      <w:pPr>
        <w:pStyle w:val="Caption1"/>
        <w:ind w:left="0" w:firstLine="0"/>
        <w:jc w:val="center"/>
      </w:pPr>
    </w:p>
    <w:p w14:paraId="29EADD42" w14:textId="5B7A10C7" w:rsidR="0085474F" w:rsidRPr="001F5628" w:rsidRDefault="00DB5B27" w:rsidP="00DD6AE1">
      <w:pPr>
        <w:pStyle w:val="Caption1"/>
        <w:ind w:left="0" w:firstLine="0"/>
        <w:jc w:val="center"/>
      </w:pPr>
      <w:r>
        <w:t xml:space="preserve">Table 1: Description of the data exchange protocol for the </w:t>
      </w:r>
      <w:r w:rsidR="00CC5A21">
        <w:t>B</w:t>
      </w:r>
      <w:r w:rsidR="00846A53">
        <w:t>RSM</w:t>
      </w:r>
      <w:r w:rsidR="00127480">
        <w:t>.</w:t>
      </w:r>
    </w:p>
    <w:tbl>
      <w:tblPr>
        <w:tblStyle w:val="GridTable21"/>
        <w:tblW w:w="9070" w:type="dxa"/>
        <w:jc w:val="center"/>
        <w:tblLook w:val="04A0" w:firstRow="1" w:lastRow="0" w:firstColumn="1" w:lastColumn="0" w:noHBand="0" w:noVBand="1"/>
      </w:tblPr>
      <w:tblGrid>
        <w:gridCol w:w="4535"/>
        <w:gridCol w:w="4535"/>
      </w:tblGrid>
      <w:tr w:rsidR="00AA7532" w14:paraId="0239B227" w14:textId="77777777" w:rsidTr="000D79B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5" w:type="dxa"/>
            <w:tcBorders>
              <w:bottom w:val="single" w:sz="24" w:space="0" w:color="auto"/>
            </w:tcBorders>
          </w:tcPr>
          <w:p w14:paraId="6F72B4C6" w14:textId="17CE2BFC" w:rsidR="00CE6FBE" w:rsidRDefault="00CC5A21" w:rsidP="00CE6FBE">
            <w:r>
              <w:t>B</w:t>
            </w:r>
            <w:r w:rsidR="00846A53">
              <w:t>RSM</w:t>
            </w:r>
            <w:r w:rsidR="00AA7532">
              <w:t xml:space="preserve"> </w:t>
            </w:r>
            <w:r w:rsidR="00542C27">
              <w:t xml:space="preserve">Key </w:t>
            </w:r>
            <w:r w:rsidR="00CE6FBE">
              <w:t>Inputs</w:t>
            </w:r>
          </w:p>
        </w:tc>
        <w:tc>
          <w:tcPr>
            <w:tcW w:w="4535" w:type="dxa"/>
            <w:tcBorders>
              <w:bottom w:val="single" w:sz="24" w:space="0" w:color="auto"/>
            </w:tcBorders>
          </w:tcPr>
          <w:p w14:paraId="1E8E111C" w14:textId="6FFB0829" w:rsidR="00CE6FBE" w:rsidRDefault="00CC5A21" w:rsidP="00CE6FBE">
            <w:pPr>
              <w:cnfStyle w:val="100000000000" w:firstRow="1" w:lastRow="0" w:firstColumn="0" w:lastColumn="0" w:oddVBand="0" w:evenVBand="0" w:oddHBand="0" w:evenHBand="0" w:firstRowFirstColumn="0" w:firstRowLastColumn="0" w:lastRowFirstColumn="0" w:lastRowLastColumn="0"/>
            </w:pPr>
            <w:r>
              <w:t>B</w:t>
            </w:r>
            <w:r w:rsidR="00846A53">
              <w:t>RSM</w:t>
            </w:r>
            <w:r w:rsidR="00AA7532">
              <w:t xml:space="preserve"> </w:t>
            </w:r>
            <w:r w:rsidR="00542C27">
              <w:t xml:space="preserve">Key </w:t>
            </w:r>
            <w:r w:rsidR="00CE6FBE">
              <w:t>Outputs</w:t>
            </w:r>
          </w:p>
        </w:tc>
      </w:tr>
      <w:tr w:rsidR="00AA7532" w14:paraId="51FB55BE" w14:textId="77777777" w:rsidTr="000D79B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5" w:type="dxa"/>
            <w:tcBorders>
              <w:top w:val="single" w:sz="24" w:space="0" w:color="auto"/>
              <w:left w:val="single" w:sz="24" w:space="0" w:color="auto"/>
              <w:bottom w:val="single" w:sz="24" w:space="0" w:color="auto"/>
            </w:tcBorders>
          </w:tcPr>
          <w:p w14:paraId="364D2341" w14:textId="77777777" w:rsidR="00924D6C" w:rsidRPr="00332A62" w:rsidRDefault="00924D6C" w:rsidP="00924D6C">
            <w:pPr>
              <w:rPr>
                <w:sz w:val="20"/>
              </w:rPr>
            </w:pPr>
            <w:r w:rsidRPr="00332A62">
              <w:rPr>
                <w:sz w:val="20"/>
              </w:rPr>
              <w:t>MUSE core dynamic variables</w:t>
            </w:r>
          </w:p>
          <w:p w14:paraId="31160BFA" w14:textId="0DCBFE60" w:rsidR="00132BBF" w:rsidRPr="00492C81" w:rsidRDefault="003F1439" w:rsidP="00132BBF">
            <w:pPr>
              <w:pStyle w:val="ListParagraph"/>
              <w:numPr>
                <w:ilvl w:val="0"/>
                <w:numId w:val="1"/>
              </w:numPr>
              <w:rPr>
                <w:sz w:val="20"/>
              </w:rPr>
            </w:pPr>
            <w:r>
              <w:rPr>
                <w:b w:val="0"/>
                <w:sz w:val="20"/>
              </w:rPr>
              <w:t xml:space="preserve">Forward </w:t>
            </w:r>
            <w:r w:rsidR="004A6C80">
              <w:rPr>
                <w:b w:val="0"/>
                <w:sz w:val="20"/>
              </w:rPr>
              <w:t>fuel</w:t>
            </w:r>
            <w:r w:rsidR="004F043C">
              <w:rPr>
                <w:b w:val="0"/>
                <w:sz w:val="20"/>
              </w:rPr>
              <w:t xml:space="preserve"> </w:t>
            </w:r>
            <w:r w:rsidR="00492C81" w:rsidRPr="00492C81">
              <w:rPr>
                <w:b w:val="0"/>
                <w:sz w:val="20"/>
              </w:rPr>
              <w:t xml:space="preserve">demand for </w:t>
            </w:r>
            <w:r>
              <w:rPr>
                <w:b w:val="0"/>
                <w:sz w:val="20"/>
              </w:rPr>
              <w:t xml:space="preserve">each </w:t>
            </w:r>
            <w:r w:rsidRPr="00492C81">
              <w:rPr>
                <w:b w:val="0"/>
                <w:sz w:val="20"/>
              </w:rPr>
              <w:t xml:space="preserve">time period </w:t>
            </w:r>
            <w:r w:rsidR="00132BBF" w:rsidRPr="00492C81">
              <w:rPr>
                <w:b w:val="0"/>
                <w:sz w:val="20"/>
              </w:rPr>
              <w:t>with timeslice disaggregation (</w:t>
            </w:r>
            <w:r w:rsidR="003509F5">
              <w:rPr>
                <w:b w:val="0"/>
                <w:sz w:val="20"/>
              </w:rPr>
              <w:t>PJ</w:t>
            </w:r>
            <w:r w:rsidR="00F27088">
              <w:rPr>
                <w:b w:val="0"/>
                <w:sz w:val="20"/>
              </w:rPr>
              <w:t>/</w:t>
            </w:r>
            <w:r w:rsidR="00132BBF" w:rsidRPr="00492C81">
              <w:rPr>
                <w:b w:val="0"/>
                <w:sz w:val="20"/>
              </w:rPr>
              <w:t>year)</w:t>
            </w:r>
          </w:p>
          <w:p w14:paraId="4FE16A0B" w14:textId="02137CDC" w:rsidR="00492C81" w:rsidRDefault="00492C81" w:rsidP="00492C81">
            <w:pPr>
              <w:pStyle w:val="ListParagraph"/>
              <w:numPr>
                <w:ilvl w:val="0"/>
                <w:numId w:val="1"/>
              </w:numPr>
              <w:rPr>
                <w:b w:val="0"/>
                <w:sz w:val="20"/>
              </w:rPr>
            </w:pPr>
            <w:r w:rsidRPr="00492C81">
              <w:rPr>
                <w:b w:val="0"/>
                <w:sz w:val="20"/>
              </w:rPr>
              <w:t xml:space="preserve">Forward </w:t>
            </w:r>
            <w:r w:rsidR="00B676AC">
              <w:rPr>
                <w:b w:val="0"/>
                <w:sz w:val="20"/>
              </w:rPr>
              <w:t xml:space="preserve">primary </w:t>
            </w:r>
            <w:r w:rsidR="004A6C80">
              <w:rPr>
                <w:b w:val="0"/>
                <w:sz w:val="20"/>
              </w:rPr>
              <w:t>energy</w:t>
            </w:r>
            <w:r w:rsidRPr="00492C81">
              <w:rPr>
                <w:b w:val="0"/>
                <w:sz w:val="20"/>
              </w:rPr>
              <w:t xml:space="preserve"> price </w:t>
            </w:r>
            <w:r w:rsidR="003F1439" w:rsidRPr="00492C81">
              <w:rPr>
                <w:b w:val="0"/>
                <w:sz w:val="20"/>
              </w:rPr>
              <w:t xml:space="preserve">for </w:t>
            </w:r>
            <w:r w:rsidR="003F1439">
              <w:rPr>
                <w:b w:val="0"/>
                <w:sz w:val="20"/>
              </w:rPr>
              <w:t xml:space="preserve">each </w:t>
            </w:r>
            <w:r w:rsidR="003F1439" w:rsidRPr="00492C81">
              <w:rPr>
                <w:b w:val="0"/>
                <w:sz w:val="20"/>
              </w:rPr>
              <w:t>time period with timeslice disaggregation</w:t>
            </w:r>
            <w:r w:rsidRPr="00492C81">
              <w:rPr>
                <w:b w:val="0"/>
                <w:sz w:val="20"/>
              </w:rPr>
              <w:t xml:space="preserve"> (</w:t>
            </w:r>
            <w:r w:rsidR="00F27088">
              <w:rPr>
                <w:b w:val="0"/>
                <w:sz w:val="20"/>
              </w:rPr>
              <w:t>MUSD</w:t>
            </w:r>
            <w:r w:rsidR="00F27088" w:rsidRPr="00F27088">
              <w:rPr>
                <w:b w:val="0"/>
                <w:sz w:val="20"/>
                <w:vertAlign w:val="subscript"/>
              </w:rPr>
              <w:t>2010</w:t>
            </w:r>
            <w:r w:rsidR="00F27088">
              <w:rPr>
                <w:b w:val="0"/>
                <w:sz w:val="20"/>
              </w:rPr>
              <w:t>/</w:t>
            </w:r>
            <w:r w:rsidRPr="00492C81">
              <w:rPr>
                <w:b w:val="0"/>
                <w:sz w:val="20"/>
              </w:rPr>
              <w:t>PJ</w:t>
            </w:r>
            <w:r w:rsidR="00F27088">
              <w:rPr>
                <w:b w:val="0"/>
                <w:sz w:val="20"/>
              </w:rPr>
              <w:t>)</w:t>
            </w:r>
          </w:p>
          <w:p w14:paraId="47CD5D62" w14:textId="704E8D36" w:rsidR="00492C81" w:rsidRDefault="00F27088" w:rsidP="00492C81">
            <w:pPr>
              <w:pStyle w:val="ListParagraph"/>
              <w:numPr>
                <w:ilvl w:val="0"/>
                <w:numId w:val="1"/>
              </w:numPr>
              <w:rPr>
                <w:b w:val="0"/>
                <w:sz w:val="20"/>
              </w:rPr>
            </w:pPr>
            <w:r>
              <w:rPr>
                <w:b w:val="0"/>
                <w:sz w:val="20"/>
              </w:rPr>
              <w:t>Forward carbon price (MUSD</w:t>
            </w:r>
            <w:r w:rsidR="00492C81" w:rsidRPr="00F27088">
              <w:rPr>
                <w:b w:val="0"/>
                <w:sz w:val="20"/>
                <w:vertAlign w:val="subscript"/>
              </w:rPr>
              <w:t>2010</w:t>
            </w:r>
            <w:r>
              <w:rPr>
                <w:b w:val="0"/>
                <w:sz w:val="20"/>
              </w:rPr>
              <w:t>/GtCO</w:t>
            </w:r>
            <w:r w:rsidRPr="00F27088">
              <w:rPr>
                <w:b w:val="0"/>
                <w:sz w:val="20"/>
                <w:vertAlign w:val="subscript"/>
              </w:rPr>
              <w:t>2</w:t>
            </w:r>
            <w:r w:rsidR="00492C81" w:rsidRPr="00492C81">
              <w:rPr>
                <w:b w:val="0"/>
                <w:sz w:val="20"/>
              </w:rPr>
              <w:t>)</w:t>
            </w:r>
          </w:p>
          <w:p w14:paraId="108C4ECD" w14:textId="77777777" w:rsidR="00F27088" w:rsidRPr="00492C81" w:rsidRDefault="00F27088" w:rsidP="00F27088">
            <w:pPr>
              <w:pStyle w:val="ListParagraph"/>
              <w:ind w:left="360"/>
              <w:rPr>
                <w:b w:val="0"/>
                <w:sz w:val="20"/>
              </w:rPr>
            </w:pPr>
          </w:p>
          <w:p w14:paraId="4DBF30E0" w14:textId="01F464DD" w:rsidR="00924D6C" w:rsidRPr="00132BBF" w:rsidRDefault="00CC5A21" w:rsidP="00132BBF">
            <w:pPr>
              <w:rPr>
                <w:sz w:val="20"/>
              </w:rPr>
            </w:pPr>
            <w:r>
              <w:rPr>
                <w:sz w:val="20"/>
              </w:rPr>
              <w:t>B</w:t>
            </w:r>
            <w:r w:rsidR="00B676AC">
              <w:rPr>
                <w:sz w:val="20"/>
              </w:rPr>
              <w:t>R</w:t>
            </w:r>
            <w:r w:rsidR="00756CD1" w:rsidRPr="00132BBF">
              <w:rPr>
                <w:sz w:val="20"/>
              </w:rPr>
              <w:t>SM-</w:t>
            </w:r>
            <w:r w:rsidR="00924D6C" w:rsidRPr="00132BBF">
              <w:rPr>
                <w:sz w:val="20"/>
              </w:rPr>
              <w:t>specific input parameters</w:t>
            </w:r>
          </w:p>
          <w:p w14:paraId="0645217D" w14:textId="018B1C6E" w:rsidR="008307BE" w:rsidRPr="00492C81" w:rsidRDefault="00492C81" w:rsidP="00492C81">
            <w:pPr>
              <w:pStyle w:val="ListParagraph"/>
              <w:numPr>
                <w:ilvl w:val="0"/>
                <w:numId w:val="13"/>
              </w:numPr>
              <w:ind w:left="357" w:hanging="357"/>
              <w:rPr>
                <w:sz w:val="20"/>
              </w:rPr>
            </w:pPr>
            <w:r w:rsidRPr="00492C81">
              <w:rPr>
                <w:b w:val="0"/>
                <w:sz w:val="20"/>
              </w:rPr>
              <w:t xml:space="preserve">Techno-economic </w:t>
            </w:r>
            <w:r w:rsidR="004A6C80">
              <w:rPr>
                <w:b w:val="0"/>
                <w:sz w:val="20"/>
              </w:rPr>
              <w:t xml:space="preserve">and environmental </w:t>
            </w:r>
            <w:r w:rsidRPr="00492C81">
              <w:rPr>
                <w:b w:val="0"/>
                <w:sz w:val="20"/>
              </w:rPr>
              <w:t>characterisation (conversion efficiency, unit investment and operating costs</w:t>
            </w:r>
            <w:r w:rsidR="005B3016">
              <w:rPr>
                <w:b w:val="0"/>
                <w:sz w:val="20"/>
              </w:rPr>
              <w:t>, GHG emissions and F-gases</w:t>
            </w:r>
            <w:r w:rsidRPr="00492C81">
              <w:rPr>
                <w:b w:val="0"/>
                <w:sz w:val="20"/>
              </w:rPr>
              <w:t xml:space="preserve">) of each </w:t>
            </w:r>
            <w:r w:rsidR="00B676AC">
              <w:rPr>
                <w:b w:val="0"/>
                <w:sz w:val="20"/>
              </w:rPr>
              <w:t>refinery process</w:t>
            </w:r>
            <w:r w:rsidRPr="00492C81">
              <w:rPr>
                <w:b w:val="0"/>
                <w:sz w:val="20"/>
              </w:rPr>
              <w:t xml:space="preserve"> by </w:t>
            </w:r>
            <w:r w:rsidR="005B3016">
              <w:rPr>
                <w:b w:val="0"/>
                <w:sz w:val="20"/>
              </w:rPr>
              <w:t>asset</w:t>
            </w:r>
            <w:r w:rsidRPr="00492C81">
              <w:rPr>
                <w:b w:val="0"/>
                <w:sz w:val="20"/>
              </w:rPr>
              <w:t xml:space="preserve"> type in each time period and region</w:t>
            </w:r>
          </w:p>
          <w:p w14:paraId="7021BEE1" w14:textId="4D04A396" w:rsidR="00492C81" w:rsidRPr="00492C81" w:rsidRDefault="00492C81" w:rsidP="00492C81">
            <w:pPr>
              <w:pStyle w:val="ListParagraph"/>
              <w:numPr>
                <w:ilvl w:val="0"/>
                <w:numId w:val="13"/>
              </w:numPr>
              <w:ind w:left="357" w:hanging="357"/>
              <w:rPr>
                <w:b w:val="0"/>
                <w:sz w:val="20"/>
              </w:rPr>
            </w:pPr>
            <w:r w:rsidRPr="00492C81">
              <w:rPr>
                <w:b w:val="0"/>
                <w:sz w:val="20"/>
              </w:rPr>
              <w:t xml:space="preserve">Existing </w:t>
            </w:r>
            <w:r w:rsidR="00B676AC">
              <w:rPr>
                <w:b w:val="0"/>
                <w:sz w:val="20"/>
              </w:rPr>
              <w:t>refineries</w:t>
            </w:r>
            <w:r w:rsidRPr="00492C81">
              <w:rPr>
                <w:b w:val="0"/>
                <w:sz w:val="20"/>
              </w:rPr>
              <w:t xml:space="preserve"> for the model base year by </w:t>
            </w:r>
            <w:r w:rsidR="005B3016">
              <w:rPr>
                <w:b w:val="0"/>
                <w:sz w:val="20"/>
              </w:rPr>
              <w:t>asset</w:t>
            </w:r>
            <w:r w:rsidRPr="00492C81">
              <w:rPr>
                <w:b w:val="0"/>
                <w:sz w:val="20"/>
              </w:rPr>
              <w:t xml:space="preserve"> type, including their retirement profile</w:t>
            </w:r>
          </w:p>
          <w:p w14:paraId="7A742EE6" w14:textId="33548803" w:rsidR="00492C81" w:rsidRPr="00492C81" w:rsidRDefault="00492C81" w:rsidP="00492C81">
            <w:pPr>
              <w:pStyle w:val="ListParagraph"/>
              <w:numPr>
                <w:ilvl w:val="0"/>
                <w:numId w:val="13"/>
              </w:numPr>
              <w:ind w:left="357" w:hanging="357"/>
              <w:rPr>
                <w:sz w:val="20"/>
              </w:rPr>
            </w:pPr>
            <w:r w:rsidRPr="00492C81">
              <w:rPr>
                <w:b w:val="0"/>
                <w:sz w:val="20"/>
              </w:rPr>
              <w:t>Policy framework and fiscal regimes</w:t>
            </w:r>
          </w:p>
        </w:tc>
        <w:tc>
          <w:tcPr>
            <w:tcW w:w="4535" w:type="dxa"/>
            <w:tcBorders>
              <w:top w:val="single" w:sz="24" w:space="0" w:color="auto"/>
              <w:bottom w:val="single" w:sz="24" w:space="0" w:color="auto"/>
              <w:right w:val="single" w:sz="24" w:space="0" w:color="auto"/>
            </w:tcBorders>
          </w:tcPr>
          <w:p w14:paraId="7D37F9D0" w14:textId="7280AECF" w:rsidR="00924D6C" w:rsidRPr="00332A62" w:rsidRDefault="00924D6C" w:rsidP="00924D6C">
            <w:pPr>
              <w:cnfStyle w:val="000000100000" w:firstRow="0" w:lastRow="0" w:firstColumn="0" w:lastColumn="0" w:oddVBand="0" w:evenVBand="0" w:oddHBand="1" w:evenHBand="0" w:firstRowFirstColumn="0" w:firstRowLastColumn="0" w:lastRowFirstColumn="0" w:lastRowLastColumn="0"/>
              <w:rPr>
                <w:b/>
                <w:sz w:val="20"/>
              </w:rPr>
            </w:pPr>
            <w:r w:rsidRPr="00332A62">
              <w:rPr>
                <w:b/>
                <w:sz w:val="20"/>
              </w:rPr>
              <w:t>MUSE core dynamic variables</w:t>
            </w:r>
          </w:p>
          <w:p w14:paraId="66473BD8" w14:textId="09A70774" w:rsidR="00756CD1" w:rsidRDefault="003F1439" w:rsidP="00132BBF">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Cs/>
                <w:sz w:val="20"/>
              </w:rPr>
            </w:pPr>
            <w:r>
              <w:rPr>
                <w:bCs/>
                <w:sz w:val="20"/>
              </w:rPr>
              <w:t xml:space="preserve">Forward </w:t>
            </w:r>
            <w:r w:rsidR="00B676AC">
              <w:rPr>
                <w:bCs/>
                <w:sz w:val="20"/>
              </w:rPr>
              <w:t>supply curve for fuels</w:t>
            </w:r>
            <w:r w:rsidR="00132BBF" w:rsidRPr="00132BBF">
              <w:rPr>
                <w:bCs/>
                <w:sz w:val="20"/>
              </w:rPr>
              <w:t xml:space="preserve"> for each time perio</w:t>
            </w:r>
            <w:r w:rsidR="00F27088">
              <w:rPr>
                <w:bCs/>
                <w:sz w:val="20"/>
              </w:rPr>
              <w:t>d, region and timeslice (MUSD</w:t>
            </w:r>
            <w:r w:rsidR="00132BBF" w:rsidRPr="00F27088">
              <w:rPr>
                <w:bCs/>
                <w:sz w:val="20"/>
                <w:vertAlign w:val="subscript"/>
              </w:rPr>
              <w:t>2010</w:t>
            </w:r>
            <w:r w:rsidR="00F27088">
              <w:rPr>
                <w:bCs/>
                <w:sz w:val="20"/>
              </w:rPr>
              <w:t>/</w:t>
            </w:r>
            <w:r w:rsidR="00132BBF" w:rsidRPr="00132BBF">
              <w:rPr>
                <w:bCs/>
                <w:sz w:val="20"/>
              </w:rPr>
              <w:t>PJ</w:t>
            </w:r>
            <w:r w:rsidR="00F27088">
              <w:rPr>
                <w:bCs/>
                <w:sz w:val="20"/>
              </w:rPr>
              <w:t>)</w:t>
            </w:r>
          </w:p>
          <w:p w14:paraId="2C845032" w14:textId="6529CAF8" w:rsidR="00492C81" w:rsidRDefault="003F1439" w:rsidP="00492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Cs/>
                <w:sz w:val="20"/>
              </w:rPr>
            </w:pPr>
            <w:r>
              <w:rPr>
                <w:bCs/>
                <w:sz w:val="20"/>
              </w:rPr>
              <w:t>Forward</w:t>
            </w:r>
            <w:r w:rsidRPr="00492C81">
              <w:rPr>
                <w:bCs/>
                <w:sz w:val="20"/>
              </w:rPr>
              <w:t xml:space="preserve"> </w:t>
            </w:r>
            <w:r>
              <w:rPr>
                <w:bCs/>
                <w:sz w:val="20"/>
              </w:rPr>
              <w:t>e</w:t>
            </w:r>
            <w:r w:rsidR="00492C81" w:rsidRPr="00492C81">
              <w:rPr>
                <w:bCs/>
                <w:sz w:val="20"/>
              </w:rPr>
              <w:t>missions for each time period, region and timeslice (</w:t>
            </w:r>
            <w:r w:rsidR="00F27088">
              <w:rPr>
                <w:bCs/>
                <w:sz w:val="20"/>
              </w:rPr>
              <w:t>GtCO</w:t>
            </w:r>
            <w:r w:rsidR="00492C81" w:rsidRPr="00F27088">
              <w:rPr>
                <w:bCs/>
                <w:sz w:val="20"/>
                <w:vertAlign w:val="subscript"/>
              </w:rPr>
              <w:t>2</w:t>
            </w:r>
            <w:r w:rsidR="00F27088">
              <w:rPr>
                <w:bCs/>
                <w:sz w:val="20"/>
              </w:rPr>
              <w:t>/</w:t>
            </w:r>
            <w:r w:rsidR="00492C81" w:rsidRPr="00492C81">
              <w:rPr>
                <w:bCs/>
                <w:sz w:val="20"/>
              </w:rPr>
              <w:t>year)</w:t>
            </w:r>
          </w:p>
          <w:p w14:paraId="2674354F" w14:textId="46048197" w:rsidR="00492C81" w:rsidRDefault="003F1439" w:rsidP="00492C81">
            <w:pPr>
              <w:pStyle w:val="ListParagraph"/>
              <w:numPr>
                <w:ilvl w:val="0"/>
                <w:numId w:val="1"/>
              </w:numPr>
              <w:cnfStyle w:val="000000100000" w:firstRow="0" w:lastRow="0" w:firstColumn="0" w:lastColumn="0" w:oddVBand="0" w:evenVBand="0" w:oddHBand="1" w:evenHBand="0" w:firstRowFirstColumn="0" w:firstRowLastColumn="0" w:lastRowFirstColumn="0" w:lastRowLastColumn="0"/>
              <w:rPr>
                <w:bCs/>
                <w:sz w:val="20"/>
              </w:rPr>
            </w:pPr>
            <w:r>
              <w:rPr>
                <w:bCs/>
                <w:sz w:val="20"/>
              </w:rPr>
              <w:t>Forward</w:t>
            </w:r>
            <w:r w:rsidR="00B676AC">
              <w:rPr>
                <w:bCs/>
                <w:sz w:val="20"/>
              </w:rPr>
              <w:t xml:space="preserve"> primary </w:t>
            </w:r>
            <w:r w:rsidR="004A6C80">
              <w:rPr>
                <w:bCs/>
                <w:sz w:val="20"/>
              </w:rPr>
              <w:t>energy</w:t>
            </w:r>
            <w:r w:rsidRPr="00492C81">
              <w:rPr>
                <w:bCs/>
                <w:sz w:val="20"/>
              </w:rPr>
              <w:t xml:space="preserve"> </w:t>
            </w:r>
            <w:r w:rsidR="00B676AC">
              <w:rPr>
                <w:bCs/>
                <w:sz w:val="20"/>
              </w:rPr>
              <w:t>demand</w:t>
            </w:r>
            <w:r>
              <w:rPr>
                <w:bCs/>
                <w:sz w:val="20"/>
              </w:rPr>
              <w:t xml:space="preserve"> for each time period, region </w:t>
            </w:r>
            <w:r w:rsidR="00492C81" w:rsidRPr="00492C81">
              <w:rPr>
                <w:bCs/>
                <w:sz w:val="20"/>
              </w:rPr>
              <w:t>and timeslice (PJ</w:t>
            </w:r>
            <w:r w:rsidR="00F27088">
              <w:rPr>
                <w:bCs/>
                <w:sz w:val="20"/>
              </w:rPr>
              <w:t>/</w:t>
            </w:r>
            <w:r w:rsidR="00492C81" w:rsidRPr="00492C81">
              <w:rPr>
                <w:bCs/>
                <w:sz w:val="20"/>
              </w:rPr>
              <w:t>year)</w:t>
            </w:r>
          </w:p>
          <w:p w14:paraId="67D5B5AB" w14:textId="77777777" w:rsidR="004A6C80" w:rsidRPr="00132BBF" w:rsidRDefault="004A6C80" w:rsidP="004A6C80">
            <w:pPr>
              <w:pStyle w:val="ListParagraph"/>
              <w:ind w:left="360"/>
              <w:cnfStyle w:val="000000100000" w:firstRow="0" w:lastRow="0" w:firstColumn="0" w:lastColumn="0" w:oddVBand="0" w:evenVBand="0" w:oddHBand="1" w:evenHBand="0" w:firstRowFirstColumn="0" w:firstRowLastColumn="0" w:lastRowFirstColumn="0" w:lastRowLastColumn="0"/>
              <w:rPr>
                <w:bCs/>
                <w:sz w:val="20"/>
              </w:rPr>
            </w:pPr>
          </w:p>
          <w:p w14:paraId="08E4E918" w14:textId="0C751006" w:rsidR="004F043C" w:rsidRPr="00332A62" w:rsidRDefault="00CC5A21" w:rsidP="00924D6C">
            <w:pPr>
              <w:cnfStyle w:val="000000100000" w:firstRow="0" w:lastRow="0" w:firstColumn="0" w:lastColumn="0" w:oddVBand="0" w:evenVBand="0" w:oddHBand="1" w:evenHBand="0" w:firstRowFirstColumn="0" w:firstRowLastColumn="0" w:lastRowFirstColumn="0" w:lastRowLastColumn="0"/>
              <w:rPr>
                <w:b/>
                <w:sz w:val="20"/>
              </w:rPr>
            </w:pPr>
            <w:r>
              <w:rPr>
                <w:b/>
                <w:sz w:val="20"/>
              </w:rPr>
              <w:t>B</w:t>
            </w:r>
            <w:r w:rsidR="00B676AC">
              <w:rPr>
                <w:b/>
                <w:sz w:val="20"/>
              </w:rPr>
              <w:t>R</w:t>
            </w:r>
            <w:r w:rsidR="00756CD1">
              <w:rPr>
                <w:b/>
                <w:sz w:val="20"/>
              </w:rPr>
              <w:t>S</w:t>
            </w:r>
            <w:r w:rsidR="00924D6C" w:rsidRPr="00332A62">
              <w:rPr>
                <w:b/>
                <w:sz w:val="20"/>
              </w:rPr>
              <w:t>M-specific outputs</w:t>
            </w:r>
          </w:p>
          <w:p w14:paraId="651FCAB8" w14:textId="525D339F" w:rsidR="008307BE" w:rsidRPr="00492C81" w:rsidRDefault="00E5499B" w:rsidP="00492C81">
            <w:pPr>
              <w:pStyle w:val="ListParagraph"/>
              <w:numPr>
                <w:ilvl w:val="0"/>
                <w:numId w:val="14"/>
              </w:numPr>
              <w:ind w:left="357" w:hanging="357"/>
              <w:cnfStyle w:val="000000100000" w:firstRow="0" w:lastRow="0" w:firstColumn="0" w:lastColumn="0" w:oddVBand="0" w:evenVBand="0" w:oddHBand="1" w:evenHBand="0" w:firstRowFirstColumn="0" w:firstRowLastColumn="0" w:lastRowFirstColumn="0" w:lastRowLastColumn="0"/>
              <w:rPr>
                <w:sz w:val="20"/>
              </w:rPr>
            </w:pPr>
            <w:r>
              <w:rPr>
                <w:bCs/>
                <w:sz w:val="20"/>
              </w:rPr>
              <w:t>I</w:t>
            </w:r>
            <w:r w:rsidR="00492C81" w:rsidRPr="00492C81">
              <w:rPr>
                <w:bCs/>
                <w:sz w:val="20"/>
              </w:rPr>
              <w:t>nvestment and retirement in capacity terms by time period, technology type and region</w:t>
            </w:r>
          </w:p>
          <w:p w14:paraId="67EF47E2" w14:textId="323543F1" w:rsidR="00492C81" w:rsidRDefault="00492C81" w:rsidP="00492C81">
            <w:pPr>
              <w:pStyle w:val="ListParagraph"/>
              <w:numPr>
                <w:ilvl w:val="0"/>
                <w:numId w:val="14"/>
              </w:numPr>
              <w:ind w:left="357" w:hanging="357"/>
              <w:cnfStyle w:val="000000100000" w:firstRow="0" w:lastRow="0" w:firstColumn="0" w:lastColumn="0" w:oddVBand="0" w:evenVBand="0" w:oddHBand="1" w:evenHBand="0" w:firstRowFirstColumn="0" w:firstRowLastColumn="0" w:lastRowFirstColumn="0" w:lastRowLastColumn="0"/>
              <w:rPr>
                <w:sz w:val="20"/>
              </w:rPr>
            </w:pPr>
            <w:r w:rsidRPr="00492C81">
              <w:rPr>
                <w:sz w:val="20"/>
              </w:rPr>
              <w:t>Aggregate CAPEX and OPEX by time period, timeslice and region</w:t>
            </w:r>
          </w:p>
          <w:p w14:paraId="56381841" w14:textId="676CA1E6" w:rsidR="00492C81" w:rsidRPr="00492C81" w:rsidRDefault="00B676AC" w:rsidP="005B3016">
            <w:pPr>
              <w:pStyle w:val="ListParagraph"/>
              <w:numPr>
                <w:ilvl w:val="0"/>
                <w:numId w:val="14"/>
              </w:numPr>
              <w:ind w:left="357" w:hanging="357"/>
              <w:cnfStyle w:val="000000100000" w:firstRow="0" w:lastRow="0" w:firstColumn="0" w:lastColumn="0" w:oddVBand="0" w:evenVBand="0" w:oddHBand="1" w:evenHBand="0" w:firstRowFirstColumn="0" w:firstRowLastColumn="0" w:lastRowFirstColumn="0" w:lastRowLastColumn="0"/>
              <w:rPr>
                <w:sz w:val="20"/>
              </w:rPr>
            </w:pPr>
            <w:r>
              <w:rPr>
                <w:sz w:val="20"/>
              </w:rPr>
              <w:t>Refinery op</w:t>
            </w:r>
            <w:r w:rsidR="003509F5">
              <w:rPr>
                <w:sz w:val="20"/>
              </w:rPr>
              <w:t>er</w:t>
            </w:r>
            <w:r>
              <w:rPr>
                <w:sz w:val="20"/>
              </w:rPr>
              <w:t>ation</w:t>
            </w:r>
            <w:r w:rsidR="00492C81" w:rsidRPr="00492C81">
              <w:rPr>
                <w:sz w:val="20"/>
              </w:rPr>
              <w:t xml:space="preserve"> details (e.g. activity, energy consumption and emissions) by time slice, </w:t>
            </w:r>
            <w:r w:rsidR="005B3016">
              <w:rPr>
                <w:sz w:val="20"/>
              </w:rPr>
              <w:t>asset</w:t>
            </w:r>
            <w:r w:rsidR="00492C81" w:rsidRPr="00492C81">
              <w:rPr>
                <w:sz w:val="20"/>
              </w:rPr>
              <w:t xml:space="preserve"> type and region</w:t>
            </w:r>
          </w:p>
        </w:tc>
      </w:tr>
    </w:tbl>
    <w:p w14:paraId="6A423C06" w14:textId="193E4B9C" w:rsidR="008C222E" w:rsidRPr="008E59EF" w:rsidRDefault="00AD18BB" w:rsidP="008E59EF">
      <w:pPr>
        <w:pStyle w:val="Heading1"/>
      </w:pPr>
      <w:r>
        <w:t>References</w:t>
      </w:r>
    </w:p>
    <w:p w14:paraId="4631E014" w14:textId="49B9AC19" w:rsidR="00492C81" w:rsidRDefault="00492C81" w:rsidP="00492C81">
      <w:pPr>
        <w:pStyle w:val="ListParagraph"/>
        <w:numPr>
          <w:ilvl w:val="0"/>
          <w:numId w:val="2"/>
        </w:numPr>
      </w:pPr>
      <w:r w:rsidRPr="00492C81">
        <w:t>IEA World Energy Statistics and Balances. International Energy Agency, 2016</w:t>
      </w:r>
      <w:r>
        <w:t>.</w:t>
      </w:r>
    </w:p>
    <w:p w14:paraId="5B227AC7" w14:textId="3F6C7A47" w:rsidR="00B552BB" w:rsidRDefault="00B552BB" w:rsidP="00AC5F53">
      <w:pPr>
        <w:pStyle w:val="ListParagraph"/>
        <w:numPr>
          <w:ilvl w:val="0"/>
          <w:numId w:val="2"/>
        </w:numPr>
      </w:pPr>
      <w:r w:rsidRPr="00492C81">
        <w:t xml:space="preserve">IEA </w:t>
      </w:r>
      <w:r>
        <w:t>International Energy outlook 2016</w:t>
      </w:r>
      <w:r w:rsidRPr="00492C81">
        <w:t>. International Energy Agency, 2016</w:t>
      </w:r>
      <w:r>
        <w:t>.</w:t>
      </w:r>
    </w:p>
    <w:sectPr w:rsidR="00B552BB" w:rsidSect="00B40D4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C2A2F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07EDC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22069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A36CC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8EBB1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0848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CCA698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221CD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CFED06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1F87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5B403DC"/>
    <w:multiLevelType w:val="hybridMultilevel"/>
    <w:tmpl w:val="D3AA9984"/>
    <w:lvl w:ilvl="0" w:tplc="2A86CC3A">
      <w:numFmt w:val="bullet"/>
      <w:lvlText w:val="-"/>
      <w:lvlJc w:val="left"/>
      <w:pPr>
        <w:ind w:left="360" w:hanging="360"/>
      </w:pPr>
      <w:rPr>
        <w:rFonts w:ascii="Calibri" w:eastAsiaTheme="minorHAnsi" w:hAnsi="Calibri"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47F250B5"/>
    <w:multiLevelType w:val="hybridMultilevel"/>
    <w:tmpl w:val="0660C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54012"/>
    <w:multiLevelType w:val="hybridMultilevel"/>
    <w:tmpl w:val="8D04571A"/>
    <w:lvl w:ilvl="0" w:tplc="C1E2A13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D5922FA"/>
    <w:multiLevelType w:val="hybridMultilevel"/>
    <w:tmpl w:val="80A82A06"/>
    <w:lvl w:ilvl="0" w:tplc="2A86CC3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D1E43"/>
    <w:multiLevelType w:val="hybridMultilevel"/>
    <w:tmpl w:val="427273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B32C4C"/>
    <w:multiLevelType w:val="hybridMultilevel"/>
    <w:tmpl w:val="31AE28DE"/>
    <w:lvl w:ilvl="0" w:tplc="2A86CC3A">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9"/>
  </w:num>
  <w:num w:numId="4">
    <w:abstractNumId w:val="8"/>
  </w:num>
  <w:num w:numId="5">
    <w:abstractNumId w:val="7"/>
  </w:num>
  <w:num w:numId="6">
    <w:abstractNumId w:val="6"/>
  </w:num>
  <w:num w:numId="7">
    <w:abstractNumId w:val="5"/>
  </w:num>
  <w:num w:numId="8">
    <w:abstractNumId w:val="4"/>
  </w:num>
  <w:num w:numId="9">
    <w:abstractNumId w:val="3"/>
  </w:num>
  <w:num w:numId="10">
    <w:abstractNumId w:val="2"/>
  </w:num>
  <w:num w:numId="11">
    <w:abstractNumId w:val="1"/>
  </w:num>
  <w:num w:numId="12">
    <w:abstractNumId w:val="0"/>
  </w:num>
  <w:num w:numId="13">
    <w:abstractNumId w:val="15"/>
  </w:num>
  <w:num w:numId="14">
    <w:abstractNumId w:val="13"/>
  </w:num>
  <w:num w:numId="15">
    <w:abstractNumId w:val="14"/>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8"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E"/>
    <w:rsid w:val="00064BD4"/>
    <w:rsid w:val="00065A4B"/>
    <w:rsid w:val="00080AAA"/>
    <w:rsid w:val="000C0438"/>
    <w:rsid w:val="000D28D3"/>
    <w:rsid w:val="000D79BD"/>
    <w:rsid w:val="000E25E5"/>
    <w:rsid w:val="000F2ED1"/>
    <w:rsid w:val="00127480"/>
    <w:rsid w:val="00132BBF"/>
    <w:rsid w:val="00161989"/>
    <w:rsid w:val="001A61D5"/>
    <w:rsid w:val="001C40EA"/>
    <w:rsid w:val="001F5628"/>
    <w:rsid w:val="002668D9"/>
    <w:rsid w:val="00272A55"/>
    <w:rsid w:val="002B31FA"/>
    <w:rsid w:val="002B47CA"/>
    <w:rsid w:val="002C2808"/>
    <w:rsid w:val="002C380F"/>
    <w:rsid w:val="002E665D"/>
    <w:rsid w:val="002E71D3"/>
    <w:rsid w:val="00332A62"/>
    <w:rsid w:val="00332CB4"/>
    <w:rsid w:val="003509F5"/>
    <w:rsid w:val="003A5AF5"/>
    <w:rsid w:val="003D13E3"/>
    <w:rsid w:val="003F1439"/>
    <w:rsid w:val="004502A1"/>
    <w:rsid w:val="004602E5"/>
    <w:rsid w:val="00464A2B"/>
    <w:rsid w:val="00492C81"/>
    <w:rsid w:val="004A6C80"/>
    <w:rsid w:val="004D3496"/>
    <w:rsid w:val="004F043C"/>
    <w:rsid w:val="00536100"/>
    <w:rsid w:val="0053686D"/>
    <w:rsid w:val="00542C27"/>
    <w:rsid w:val="00593577"/>
    <w:rsid w:val="005B3016"/>
    <w:rsid w:val="005F0178"/>
    <w:rsid w:val="00664A3B"/>
    <w:rsid w:val="006964BF"/>
    <w:rsid w:val="006D00B0"/>
    <w:rsid w:val="00720E6B"/>
    <w:rsid w:val="007307B4"/>
    <w:rsid w:val="00734EA8"/>
    <w:rsid w:val="00743B6B"/>
    <w:rsid w:val="00756CD1"/>
    <w:rsid w:val="0077597E"/>
    <w:rsid w:val="007A0118"/>
    <w:rsid w:val="007D7D52"/>
    <w:rsid w:val="00816CCA"/>
    <w:rsid w:val="008307BE"/>
    <w:rsid w:val="00832154"/>
    <w:rsid w:val="0083428D"/>
    <w:rsid w:val="00846828"/>
    <w:rsid w:val="00846A53"/>
    <w:rsid w:val="0085474F"/>
    <w:rsid w:val="008608EC"/>
    <w:rsid w:val="00886EC9"/>
    <w:rsid w:val="00892ABF"/>
    <w:rsid w:val="008C222E"/>
    <w:rsid w:val="008E59EF"/>
    <w:rsid w:val="00924D6C"/>
    <w:rsid w:val="00931904"/>
    <w:rsid w:val="0099033D"/>
    <w:rsid w:val="00A93C13"/>
    <w:rsid w:val="00A94B4D"/>
    <w:rsid w:val="00AA7532"/>
    <w:rsid w:val="00AB696E"/>
    <w:rsid w:val="00AD09E5"/>
    <w:rsid w:val="00AD18BB"/>
    <w:rsid w:val="00AF72EF"/>
    <w:rsid w:val="00B0128D"/>
    <w:rsid w:val="00B15C3E"/>
    <w:rsid w:val="00B40D4B"/>
    <w:rsid w:val="00B552BB"/>
    <w:rsid w:val="00B627E4"/>
    <w:rsid w:val="00B676AC"/>
    <w:rsid w:val="00B94CFD"/>
    <w:rsid w:val="00BB3233"/>
    <w:rsid w:val="00C37494"/>
    <w:rsid w:val="00C808FB"/>
    <w:rsid w:val="00CB3761"/>
    <w:rsid w:val="00CB3911"/>
    <w:rsid w:val="00CB5B77"/>
    <w:rsid w:val="00CC5A21"/>
    <w:rsid w:val="00CC6FC1"/>
    <w:rsid w:val="00CD2C72"/>
    <w:rsid w:val="00CE6FBE"/>
    <w:rsid w:val="00CF6F5F"/>
    <w:rsid w:val="00D1043F"/>
    <w:rsid w:val="00D15AC7"/>
    <w:rsid w:val="00D541F8"/>
    <w:rsid w:val="00D611AA"/>
    <w:rsid w:val="00D82292"/>
    <w:rsid w:val="00DB2A36"/>
    <w:rsid w:val="00DB5B27"/>
    <w:rsid w:val="00DD6AE1"/>
    <w:rsid w:val="00DE1595"/>
    <w:rsid w:val="00E5499B"/>
    <w:rsid w:val="00E86F81"/>
    <w:rsid w:val="00EB0D1E"/>
    <w:rsid w:val="00ED6AB3"/>
    <w:rsid w:val="00EF23C9"/>
    <w:rsid w:val="00F06435"/>
    <w:rsid w:val="00F27088"/>
    <w:rsid w:val="00F66A00"/>
    <w:rsid w:val="00FA2230"/>
    <w:rsid w:val="00FA7428"/>
    <w:rsid w:val="00FC2259"/>
    <w:rsid w:val="00FD1289"/>
    <w:rsid w:val="00FF612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D788"/>
  <w15:docId w15:val="{9AD09EC6-C39A-428B-AEC5-7D78D945A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ABF"/>
    <w:pPr>
      <w:jc w:val="both"/>
    </w:pPr>
  </w:style>
  <w:style w:type="paragraph" w:styleId="Heading1">
    <w:name w:val="heading 1"/>
    <w:basedOn w:val="Normal"/>
    <w:next w:val="Normal"/>
    <w:link w:val="Heading1Char"/>
    <w:uiPriority w:val="9"/>
    <w:qFormat/>
    <w:rsid w:val="008C222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222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222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C222E"/>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CE6F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51">
    <w:name w:val="Grid Table 2 - Accent 51"/>
    <w:basedOn w:val="TableNormal"/>
    <w:uiPriority w:val="47"/>
    <w:rsid w:val="00CE6FBE"/>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31">
    <w:name w:val="Grid Table 31"/>
    <w:basedOn w:val="TableNormal"/>
    <w:uiPriority w:val="48"/>
    <w:rsid w:val="00CE6FB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21">
    <w:name w:val="Grid Table 21"/>
    <w:basedOn w:val="TableNormal"/>
    <w:uiPriority w:val="47"/>
    <w:rsid w:val="00CE6FBE"/>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Paragraph">
    <w:name w:val="List Paragraph"/>
    <w:basedOn w:val="Normal"/>
    <w:uiPriority w:val="34"/>
    <w:qFormat/>
    <w:rsid w:val="00BB3233"/>
    <w:pPr>
      <w:ind w:left="720"/>
      <w:contextualSpacing/>
    </w:pPr>
  </w:style>
  <w:style w:type="paragraph" w:styleId="BalloonText">
    <w:name w:val="Balloon Text"/>
    <w:basedOn w:val="Normal"/>
    <w:link w:val="BalloonTextChar"/>
    <w:uiPriority w:val="99"/>
    <w:semiHidden/>
    <w:unhideWhenUsed/>
    <w:rsid w:val="001F5628"/>
    <w:rPr>
      <w:rFonts w:ascii="Tahoma" w:hAnsi="Tahoma" w:cs="Tahoma"/>
      <w:sz w:val="16"/>
      <w:szCs w:val="16"/>
    </w:rPr>
  </w:style>
  <w:style w:type="character" w:customStyle="1" w:styleId="BalloonTextChar">
    <w:name w:val="Balloon Text Char"/>
    <w:basedOn w:val="DefaultParagraphFont"/>
    <w:link w:val="BalloonText"/>
    <w:uiPriority w:val="99"/>
    <w:semiHidden/>
    <w:rsid w:val="001F5628"/>
    <w:rPr>
      <w:rFonts w:ascii="Tahoma" w:hAnsi="Tahoma" w:cs="Tahoma"/>
      <w:sz w:val="16"/>
      <w:szCs w:val="16"/>
    </w:rPr>
  </w:style>
  <w:style w:type="paragraph" w:customStyle="1" w:styleId="Caption1">
    <w:name w:val="Caption1"/>
    <w:basedOn w:val="Normal"/>
    <w:qFormat/>
    <w:rsid w:val="00931904"/>
    <w:pPr>
      <w:spacing w:before="10" w:after="10"/>
      <w:ind w:left="720" w:firstLine="720"/>
    </w:pPr>
    <w:rPr>
      <w:sz w:val="20"/>
    </w:rPr>
  </w:style>
  <w:style w:type="paragraph" w:styleId="NormalWeb">
    <w:name w:val="Normal (Web)"/>
    <w:basedOn w:val="Normal"/>
    <w:uiPriority w:val="99"/>
    <w:semiHidden/>
    <w:unhideWhenUsed/>
    <w:rsid w:val="00DD6AE1"/>
    <w:pPr>
      <w:spacing w:before="100" w:beforeAutospacing="1" w:after="100" w:afterAutospacing="1"/>
      <w:jc w:val="left"/>
    </w:pPr>
    <w:rPr>
      <w:rFonts w:ascii="Times New Roman" w:eastAsiaTheme="minorEastAsia" w:hAnsi="Times New Roman" w:cs="Times New Roman"/>
      <w:lang w:eastAsia="en-GB"/>
    </w:rPr>
  </w:style>
  <w:style w:type="character" w:styleId="CommentReference">
    <w:name w:val="annotation reference"/>
    <w:basedOn w:val="DefaultParagraphFont"/>
    <w:uiPriority w:val="99"/>
    <w:semiHidden/>
    <w:unhideWhenUsed/>
    <w:rsid w:val="00F06435"/>
    <w:rPr>
      <w:sz w:val="16"/>
      <w:szCs w:val="16"/>
    </w:rPr>
  </w:style>
  <w:style w:type="paragraph" w:styleId="CommentText">
    <w:name w:val="annotation text"/>
    <w:basedOn w:val="Normal"/>
    <w:link w:val="CommentTextChar"/>
    <w:uiPriority w:val="99"/>
    <w:semiHidden/>
    <w:unhideWhenUsed/>
    <w:rsid w:val="00F06435"/>
    <w:rPr>
      <w:sz w:val="20"/>
      <w:szCs w:val="20"/>
    </w:rPr>
  </w:style>
  <w:style w:type="character" w:customStyle="1" w:styleId="CommentTextChar">
    <w:name w:val="Comment Text Char"/>
    <w:basedOn w:val="DefaultParagraphFont"/>
    <w:link w:val="CommentText"/>
    <w:uiPriority w:val="99"/>
    <w:semiHidden/>
    <w:rsid w:val="00F06435"/>
    <w:rPr>
      <w:sz w:val="20"/>
      <w:szCs w:val="20"/>
    </w:rPr>
  </w:style>
  <w:style w:type="paragraph" w:styleId="CommentSubject">
    <w:name w:val="annotation subject"/>
    <w:basedOn w:val="CommentText"/>
    <w:next w:val="CommentText"/>
    <w:link w:val="CommentSubjectChar"/>
    <w:uiPriority w:val="99"/>
    <w:semiHidden/>
    <w:unhideWhenUsed/>
    <w:rsid w:val="00F06435"/>
    <w:rPr>
      <w:b/>
      <w:bCs/>
    </w:rPr>
  </w:style>
  <w:style w:type="character" w:customStyle="1" w:styleId="CommentSubjectChar">
    <w:name w:val="Comment Subject Char"/>
    <w:basedOn w:val="CommentTextChar"/>
    <w:link w:val="CommentSubject"/>
    <w:uiPriority w:val="99"/>
    <w:semiHidden/>
    <w:rsid w:val="00F06435"/>
    <w:rPr>
      <w:b/>
      <w:bCs/>
      <w:sz w:val="20"/>
      <w:szCs w:val="20"/>
    </w:rPr>
  </w:style>
  <w:style w:type="paragraph" w:styleId="Revision">
    <w:name w:val="Revision"/>
    <w:hidden/>
    <w:uiPriority w:val="99"/>
    <w:semiHidden/>
    <w:rsid w:val="004F04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29902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2</Pages>
  <Words>809</Words>
  <Characters>4613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Imperial College</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Giarola, Sara</cp:lastModifiedBy>
  <cp:revision>14</cp:revision>
  <cp:lastPrinted>2016-03-31T09:37:00Z</cp:lastPrinted>
  <dcterms:created xsi:type="dcterms:W3CDTF">2016-10-12T15:24:00Z</dcterms:created>
  <dcterms:modified xsi:type="dcterms:W3CDTF">2016-12-16T11:49:00Z</dcterms:modified>
</cp:coreProperties>
</file>