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A5E47" w14:textId="77777777" w:rsidR="00F1212E" w:rsidRPr="006B5FCF" w:rsidRDefault="00F1212E" w:rsidP="00F1212E">
      <w:pPr>
        <w:jc w:val="center"/>
        <w:rPr>
          <w:b/>
          <w:bCs/>
          <w:sz w:val="32"/>
          <w:szCs w:val="32"/>
        </w:rPr>
      </w:pPr>
      <w:r w:rsidRPr="006B5FCF">
        <w:rPr>
          <w:b/>
          <w:bCs/>
          <w:sz w:val="32"/>
          <w:szCs w:val="32"/>
        </w:rPr>
        <w:t>Study protocol</w:t>
      </w:r>
    </w:p>
    <w:p w14:paraId="24603BE1" w14:textId="77777777" w:rsidR="00F1212E" w:rsidRDefault="00F1212E" w:rsidP="007A475A">
      <w:pPr>
        <w:jc w:val="center"/>
        <w:rPr>
          <w:b/>
          <w:bCs/>
        </w:rPr>
      </w:pPr>
    </w:p>
    <w:p w14:paraId="70615BF0" w14:textId="77777777" w:rsidR="00F1212E" w:rsidRPr="006B5FCF" w:rsidRDefault="00F1212E" w:rsidP="00F1212E">
      <w:pPr>
        <w:jc w:val="center"/>
        <w:rPr>
          <w:sz w:val="28"/>
          <w:szCs w:val="28"/>
        </w:rPr>
      </w:pPr>
      <w:r w:rsidRPr="006B5FCF">
        <w:rPr>
          <w:sz w:val="28"/>
          <w:szCs w:val="28"/>
        </w:rPr>
        <w:t>Vaccination timeliness in preterm infants.</w:t>
      </w:r>
    </w:p>
    <w:p w14:paraId="26ABE471" w14:textId="77777777" w:rsidR="00F1212E" w:rsidRDefault="00F1212E" w:rsidP="00F1212E">
      <w:pPr>
        <w:rPr>
          <w:b/>
          <w:bCs/>
        </w:rPr>
      </w:pPr>
    </w:p>
    <w:p w14:paraId="2B679673" w14:textId="77777777" w:rsidR="00F1212E" w:rsidRDefault="00F1212E" w:rsidP="00F1212E">
      <w:pPr>
        <w:rPr>
          <w:b/>
          <w:bCs/>
        </w:rPr>
      </w:pPr>
    </w:p>
    <w:p w14:paraId="4003739F" w14:textId="77777777" w:rsidR="00F1212E" w:rsidRDefault="00F1212E" w:rsidP="00F1212E">
      <w:pPr>
        <w:rPr>
          <w:b/>
          <w:bCs/>
        </w:rPr>
      </w:pPr>
    </w:p>
    <w:p w14:paraId="5F777D4A" w14:textId="77777777" w:rsidR="00F1212E" w:rsidRDefault="00F1212E" w:rsidP="00F1212E">
      <w:pPr>
        <w:rPr>
          <w:b/>
          <w:bCs/>
        </w:rPr>
      </w:pPr>
    </w:p>
    <w:p w14:paraId="060E7A9F" w14:textId="77777777" w:rsidR="00F1212E" w:rsidRDefault="00F1212E" w:rsidP="00F1212E">
      <w:pPr>
        <w:rPr>
          <w:b/>
          <w:bCs/>
        </w:rPr>
      </w:pPr>
    </w:p>
    <w:p w14:paraId="58BBFD9B" w14:textId="2057214D" w:rsidR="00F1212E" w:rsidRDefault="00F1212E" w:rsidP="00F1212E">
      <w:pPr>
        <w:rPr>
          <w:b/>
          <w:bCs/>
        </w:rPr>
      </w:pPr>
    </w:p>
    <w:tbl>
      <w:tblPr>
        <w:tblStyle w:val="TableGrid"/>
        <w:tblW w:w="0" w:type="auto"/>
        <w:tblLook w:val="04A0" w:firstRow="1" w:lastRow="0" w:firstColumn="1" w:lastColumn="0" w:noHBand="0" w:noVBand="1"/>
      </w:tblPr>
      <w:tblGrid>
        <w:gridCol w:w="4508"/>
        <w:gridCol w:w="4508"/>
      </w:tblGrid>
      <w:tr w:rsidR="00F1212E" w14:paraId="0605EB3D" w14:textId="77777777" w:rsidTr="00F1212E">
        <w:tc>
          <w:tcPr>
            <w:tcW w:w="4508" w:type="dxa"/>
          </w:tcPr>
          <w:p w14:paraId="3B83FE8F" w14:textId="77777777" w:rsidR="00F1212E" w:rsidRDefault="00F1212E" w:rsidP="00F1212E">
            <w:pPr>
              <w:rPr>
                <w:b/>
                <w:bCs/>
              </w:rPr>
            </w:pPr>
          </w:p>
          <w:p w14:paraId="51C98B2A" w14:textId="77777777" w:rsidR="00F1212E" w:rsidRDefault="00F1212E" w:rsidP="00F1212E">
            <w:pPr>
              <w:rPr>
                <w:b/>
                <w:bCs/>
              </w:rPr>
            </w:pPr>
          </w:p>
          <w:p w14:paraId="3BECB495" w14:textId="77777777" w:rsidR="00F1212E" w:rsidRDefault="00F1212E" w:rsidP="00F1212E">
            <w:pPr>
              <w:rPr>
                <w:b/>
                <w:bCs/>
              </w:rPr>
            </w:pPr>
          </w:p>
          <w:p w14:paraId="02D8884E" w14:textId="4675219F" w:rsidR="00F1212E" w:rsidRDefault="00F1212E" w:rsidP="00F1212E">
            <w:pPr>
              <w:rPr>
                <w:b/>
                <w:bCs/>
              </w:rPr>
            </w:pPr>
            <w:r>
              <w:rPr>
                <w:b/>
                <w:bCs/>
              </w:rPr>
              <w:t xml:space="preserve">Protocol version no: </w:t>
            </w:r>
          </w:p>
          <w:p w14:paraId="47F1D973" w14:textId="77777777" w:rsidR="00F1212E" w:rsidRDefault="00F1212E" w:rsidP="00F1212E">
            <w:pPr>
              <w:rPr>
                <w:b/>
                <w:bCs/>
              </w:rPr>
            </w:pPr>
          </w:p>
          <w:p w14:paraId="242FE4B4" w14:textId="77777777" w:rsidR="00F1212E" w:rsidRDefault="00F1212E" w:rsidP="00F1212E">
            <w:pPr>
              <w:rPr>
                <w:b/>
                <w:bCs/>
              </w:rPr>
            </w:pPr>
          </w:p>
          <w:p w14:paraId="4662DA39" w14:textId="49A53DE5" w:rsidR="00F1212E" w:rsidRDefault="00F1212E" w:rsidP="00F1212E">
            <w:pPr>
              <w:rPr>
                <w:b/>
                <w:bCs/>
              </w:rPr>
            </w:pPr>
          </w:p>
        </w:tc>
        <w:tc>
          <w:tcPr>
            <w:tcW w:w="4508" w:type="dxa"/>
          </w:tcPr>
          <w:p w14:paraId="1697AAC1" w14:textId="77777777" w:rsidR="00F1212E" w:rsidRDefault="00F1212E" w:rsidP="00F1212E">
            <w:pPr>
              <w:rPr>
                <w:b/>
                <w:bCs/>
              </w:rPr>
            </w:pPr>
          </w:p>
          <w:p w14:paraId="537E675C" w14:textId="77777777" w:rsidR="00F1212E" w:rsidRDefault="00F1212E" w:rsidP="00F1212E">
            <w:pPr>
              <w:rPr>
                <w:b/>
                <w:bCs/>
              </w:rPr>
            </w:pPr>
          </w:p>
          <w:p w14:paraId="33500592" w14:textId="77777777" w:rsidR="00F1212E" w:rsidRDefault="00F1212E" w:rsidP="00F1212E">
            <w:pPr>
              <w:rPr>
                <w:b/>
                <w:bCs/>
              </w:rPr>
            </w:pPr>
          </w:p>
          <w:p w14:paraId="75F71C7A" w14:textId="45F64AAD" w:rsidR="00F1212E" w:rsidRDefault="0098379E" w:rsidP="00F1212E">
            <w:pPr>
              <w:rPr>
                <w:b/>
                <w:bCs/>
              </w:rPr>
            </w:pPr>
            <w:r>
              <w:rPr>
                <w:b/>
                <w:bCs/>
              </w:rPr>
              <w:t>V3</w:t>
            </w:r>
          </w:p>
          <w:p w14:paraId="595AA8AD" w14:textId="16996ACC" w:rsidR="008012FB" w:rsidRDefault="003914FD" w:rsidP="00F1212E">
            <w:pPr>
              <w:rPr>
                <w:b/>
                <w:bCs/>
              </w:rPr>
            </w:pPr>
            <w:r>
              <w:rPr>
                <w:b/>
                <w:bCs/>
              </w:rPr>
              <w:t>23/07/2019</w:t>
            </w:r>
            <w:bookmarkStart w:id="0" w:name="_GoBack"/>
            <w:bookmarkEnd w:id="0"/>
          </w:p>
        </w:tc>
      </w:tr>
      <w:tr w:rsidR="00F1212E" w14:paraId="0167224C" w14:textId="77777777" w:rsidTr="00F1212E">
        <w:tc>
          <w:tcPr>
            <w:tcW w:w="4508" w:type="dxa"/>
          </w:tcPr>
          <w:p w14:paraId="5C65824A" w14:textId="77777777" w:rsidR="00F1212E" w:rsidRDefault="00F1212E" w:rsidP="00F1212E">
            <w:pPr>
              <w:rPr>
                <w:b/>
                <w:bCs/>
              </w:rPr>
            </w:pPr>
          </w:p>
          <w:p w14:paraId="3D4433DD" w14:textId="77777777" w:rsidR="00F1212E" w:rsidRDefault="00F1212E" w:rsidP="00F1212E">
            <w:pPr>
              <w:rPr>
                <w:b/>
                <w:bCs/>
              </w:rPr>
            </w:pPr>
          </w:p>
          <w:p w14:paraId="7C867D19" w14:textId="77777777" w:rsidR="00F1212E" w:rsidRDefault="00F1212E" w:rsidP="00F1212E">
            <w:pPr>
              <w:rPr>
                <w:b/>
                <w:bCs/>
              </w:rPr>
            </w:pPr>
          </w:p>
          <w:p w14:paraId="0490A12D" w14:textId="3A48DF2D" w:rsidR="00F1212E" w:rsidRDefault="00F1212E" w:rsidP="00F1212E">
            <w:pPr>
              <w:rPr>
                <w:b/>
                <w:bCs/>
              </w:rPr>
            </w:pPr>
            <w:r>
              <w:rPr>
                <w:b/>
                <w:bCs/>
              </w:rPr>
              <w:t xml:space="preserve">IRAS project ID: </w:t>
            </w:r>
          </w:p>
          <w:p w14:paraId="4E7A23CA" w14:textId="77777777" w:rsidR="00F1212E" w:rsidRDefault="00F1212E" w:rsidP="00F1212E">
            <w:pPr>
              <w:rPr>
                <w:b/>
                <w:bCs/>
              </w:rPr>
            </w:pPr>
          </w:p>
          <w:p w14:paraId="3EBBD207" w14:textId="77777777" w:rsidR="00F1212E" w:rsidRDefault="00F1212E" w:rsidP="00F1212E">
            <w:pPr>
              <w:rPr>
                <w:b/>
                <w:bCs/>
              </w:rPr>
            </w:pPr>
          </w:p>
          <w:p w14:paraId="2C1E3656" w14:textId="77777777" w:rsidR="00F1212E" w:rsidRDefault="00F1212E" w:rsidP="00F1212E">
            <w:pPr>
              <w:rPr>
                <w:b/>
                <w:bCs/>
              </w:rPr>
            </w:pPr>
          </w:p>
        </w:tc>
        <w:tc>
          <w:tcPr>
            <w:tcW w:w="4508" w:type="dxa"/>
          </w:tcPr>
          <w:p w14:paraId="41A2CB06" w14:textId="77777777" w:rsidR="00F1212E" w:rsidRDefault="00F1212E" w:rsidP="00F1212E">
            <w:pPr>
              <w:rPr>
                <w:b/>
                <w:bCs/>
              </w:rPr>
            </w:pPr>
          </w:p>
          <w:p w14:paraId="1D536A91" w14:textId="77777777" w:rsidR="00F1212E" w:rsidRDefault="00F1212E" w:rsidP="00F1212E">
            <w:pPr>
              <w:rPr>
                <w:b/>
                <w:bCs/>
              </w:rPr>
            </w:pPr>
          </w:p>
          <w:p w14:paraId="242BF7CC" w14:textId="77777777" w:rsidR="00F1212E" w:rsidRDefault="00F1212E" w:rsidP="00F1212E">
            <w:pPr>
              <w:rPr>
                <w:b/>
                <w:bCs/>
              </w:rPr>
            </w:pPr>
          </w:p>
          <w:p w14:paraId="1E175D68" w14:textId="45CE0CA6" w:rsidR="00F1212E" w:rsidRDefault="00F1212E" w:rsidP="00F1212E">
            <w:pPr>
              <w:rPr>
                <w:b/>
                <w:bCs/>
              </w:rPr>
            </w:pPr>
            <w:r>
              <w:rPr>
                <w:b/>
                <w:bCs/>
              </w:rPr>
              <w:t>209347</w:t>
            </w:r>
          </w:p>
        </w:tc>
      </w:tr>
    </w:tbl>
    <w:p w14:paraId="1AE5E6A8" w14:textId="05D85EDD" w:rsidR="00F1212E" w:rsidRDefault="00F1212E" w:rsidP="00F1212E">
      <w:pPr>
        <w:rPr>
          <w:b/>
          <w:bCs/>
        </w:rPr>
      </w:pPr>
    </w:p>
    <w:p w14:paraId="6210EB90" w14:textId="77777777" w:rsidR="00F1212E" w:rsidRDefault="00F1212E" w:rsidP="00F1212E">
      <w:pPr>
        <w:rPr>
          <w:b/>
          <w:bCs/>
        </w:rPr>
      </w:pPr>
    </w:p>
    <w:p w14:paraId="00CE6C30" w14:textId="77777777" w:rsidR="00F1212E" w:rsidRDefault="00F1212E" w:rsidP="007A475A">
      <w:pPr>
        <w:jc w:val="center"/>
        <w:rPr>
          <w:b/>
          <w:bCs/>
        </w:rPr>
      </w:pPr>
    </w:p>
    <w:p w14:paraId="0A1926E9" w14:textId="77777777" w:rsidR="00F1212E" w:rsidRDefault="00F1212E" w:rsidP="007A475A">
      <w:pPr>
        <w:jc w:val="center"/>
        <w:rPr>
          <w:b/>
          <w:bCs/>
        </w:rPr>
      </w:pPr>
    </w:p>
    <w:p w14:paraId="01F67857" w14:textId="77777777" w:rsidR="00F1212E" w:rsidRDefault="00F1212E" w:rsidP="007A475A">
      <w:pPr>
        <w:jc w:val="center"/>
        <w:rPr>
          <w:b/>
          <w:bCs/>
        </w:rPr>
      </w:pPr>
    </w:p>
    <w:p w14:paraId="6773495A" w14:textId="77777777" w:rsidR="00F1212E" w:rsidRDefault="00F1212E" w:rsidP="007A475A">
      <w:pPr>
        <w:jc w:val="center"/>
        <w:rPr>
          <w:b/>
          <w:bCs/>
        </w:rPr>
      </w:pPr>
    </w:p>
    <w:p w14:paraId="4CD1FC8B" w14:textId="77777777" w:rsidR="00F1212E" w:rsidRDefault="00F1212E" w:rsidP="007A475A">
      <w:pPr>
        <w:jc w:val="center"/>
        <w:rPr>
          <w:b/>
          <w:bCs/>
        </w:rPr>
      </w:pPr>
    </w:p>
    <w:p w14:paraId="2ED23671" w14:textId="77777777" w:rsidR="00F1212E" w:rsidRDefault="00F1212E" w:rsidP="007A475A">
      <w:pPr>
        <w:jc w:val="center"/>
        <w:rPr>
          <w:b/>
          <w:bCs/>
        </w:rPr>
      </w:pPr>
    </w:p>
    <w:p w14:paraId="517F4DA3" w14:textId="77777777" w:rsidR="00F1212E" w:rsidRDefault="00F1212E" w:rsidP="007A475A">
      <w:pPr>
        <w:jc w:val="center"/>
        <w:rPr>
          <w:b/>
          <w:bCs/>
        </w:rPr>
      </w:pPr>
    </w:p>
    <w:p w14:paraId="1BD25616" w14:textId="77777777" w:rsidR="00F1212E" w:rsidRDefault="00F1212E" w:rsidP="007A475A">
      <w:pPr>
        <w:jc w:val="center"/>
        <w:rPr>
          <w:b/>
          <w:bCs/>
        </w:rPr>
      </w:pPr>
    </w:p>
    <w:p w14:paraId="6F3D44BC" w14:textId="77777777" w:rsidR="00F1212E" w:rsidRDefault="00F1212E" w:rsidP="007A475A">
      <w:pPr>
        <w:jc w:val="center"/>
        <w:rPr>
          <w:b/>
          <w:bCs/>
        </w:rPr>
      </w:pPr>
    </w:p>
    <w:p w14:paraId="1C82C9B9" w14:textId="77777777" w:rsidR="00F1212E" w:rsidRDefault="00F1212E" w:rsidP="007A475A">
      <w:pPr>
        <w:jc w:val="center"/>
        <w:rPr>
          <w:b/>
          <w:bCs/>
        </w:rPr>
      </w:pPr>
    </w:p>
    <w:p w14:paraId="6081878F" w14:textId="77777777" w:rsidR="00F1212E" w:rsidRDefault="00F1212E" w:rsidP="007A475A">
      <w:pPr>
        <w:jc w:val="center"/>
        <w:rPr>
          <w:b/>
          <w:bCs/>
        </w:rPr>
      </w:pPr>
    </w:p>
    <w:p w14:paraId="25BAF938" w14:textId="77777777" w:rsidR="007A475A" w:rsidRPr="002A3C94" w:rsidRDefault="007A475A" w:rsidP="002A3C94">
      <w:pPr>
        <w:rPr>
          <w:b/>
          <w:bCs/>
          <w:u w:val="single"/>
        </w:rPr>
      </w:pPr>
      <w:r w:rsidRPr="002A3C94">
        <w:rPr>
          <w:b/>
          <w:bCs/>
          <w:u w:val="single"/>
        </w:rPr>
        <w:lastRenderedPageBreak/>
        <w:t>Title of study</w:t>
      </w:r>
    </w:p>
    <w:p w14:paraId="25BAF939" w14:textId="38902EBA" w:rsidR="007A475A" w:rsidRDefault="007A475A" w:rsidP="002A3C94">
      <w:r>
        <w:t>Vaccination timeliness in preterm infants</w:t>
      </w:r>
      <w:r w:rsidR="003E1E72">
        <w:t>.</w:t>
      </w:r>
    </w:p>
    <w:p w14:paraId="0E5D5DBB" w14:textId="77777777" w:rsidR="002A3C94" w:rsidRDefault="002A3C94" w:rsidP="00730CAA">
      <w:pPr>
        <w:ind w:firstLine="720"/>
      </w:pPr>
    </w:p>
    <w:p w14:paraId="25BAF93A" w14:textId="52267F89" w:rsidR="007A475A" w:rsidRPr="002A3C94" w:rsidRDefault="007A475A" w:rsidP="002A3C94">
      <w:pPr>
        <w:rPr>
          <w:b/>
          <w:bCs/>
          <w:u w:val="single"/>
        </w:rPr>
      </w:pPr>
      <w:r w:rsidRPr="002A3C94">
        <w:rPr>
          <w:b/>
          <w:bCs/>
          <w:u w:val="single"/>
        </w:rPr>
        <w:t>Abstract</w:t>
      </w:r>
    </w:p>
    <w:p w14:paraId="29F78822" w14:textId="030C9011" w:rsidR="00AE7B1B" w:rsidRDefault="00AE7B1B" w:rsidP="002A3C94">
      <w:pPr>
        <w:spacing w:line="360" w:lineRule="auto"/>
        <w:jc w:val="both"/>
        <w:rPr>
          <w:bCs/>
        </w:rPr>
      </w:pPr>
      <w:r>
        <w:rPr>
          <w:bCs/>
        </w:rPr>
        <w:t xml:space="preserve">Despite global recommendations that preterm infants should be immunised on a par with their full-term peers, a recent review of the literature found that </w:t>
      </w:r>
      <w:r w:rsidR="006A3C9A">
        <w:rPr>
          <w:bCs/>
        </w:rPr>
        <w:t xml:space="preserve">globally, </w:t>
      </w:r>
      <w:r>
        <w:rPr>
          <w:bCs/>
        </w:rPr>
        <w:t>preterm infants experience some significant delays; this project aims to investigate this</w:t>
      </w:r>
      <w:r w:rsidR="0018724B">
        <w:rPr>
          <w:bCs/>
        </w:rPr>
        <w:t xml:space="preserve"> issue </w:t>
      </w:r>
      <w:r w:rsidR="00744988">
        <w:rPr>
          <w:bCs/>
        </w:rPr>
        <w:t xml:space="preserve">further </w:t>
      </w:r>
      <w:r w:rsidR="0018724B">
        <w:rPr>
          <w:bCs/>
        </w:rPr>
        <w:t>and to identify any factors associated with vaccination timeliness</w:t>
      </w:r>
      <w:r>
        <w:rPr>
          <w:bCs/>
        </w:rPr>
        <w:t>.</w:t>
      </w:r>
    </w:p>
    <w:p w14:paraId="25BAF93B" w14:textId="09D9150D" w:rsidR="007A475A" w:rsidRDefault="006A3C9A" w:rsidP="002A3C94">
      <w:pPr>
        <w:spacing w:line="360" w:lineRule="auto"/>
        <w:jc w:val="both"/>
        <w:rPr>
          <w:bCs/>
        </w:rPr>
      </w:pPr>
      <w:r>
        <w:rPr>
          <w:bCs/>
        </w:rPr>
        <w:t>This multi-centred</w:t>
      </w:r>
      <w:r w:rsidR="002A3C94">
        <w:rPr>
          <w:bCs/>
        </w:rPr>
        <w:t xml:space="preserve"> study</w:t>
      </w:r>
      <w:r w:rsidR="00AE7B1B">
        <w:rPr>
          <w:bCs/>
        </w:rPr>
        <w:t xml:space="preserve"> uses a </w:t>
      </w:r>
      <w:r w:rsidR="0018724B">
        <w:rPr>
          <w:bCs/>
        </w:rPr>
        <w:t xml:space="preserve">secondary data analysis design </w:t>
      </w:r>
      <w:r w:rsidR="00AE7B1B">
        <w:rPr>
          <w:bCs/>
        </w:rPr>
        <w:t xml:space="preserve">and includes data for </w:t>
      </w:r>
      <w:r>
        <w:rPr>
          <w:bCs/>
        </w:rPr>
        <w:t xml:space="preserve">approximately </w:t>
      </w:r>
      <w:r w:rsidR="007B5425">
        <w:rPr>
          <w:bCs/>
        </w:rPr>
        <w:t>6</w:t>
      </w:r>
      <w:r w:rsidR="00AE7B1B">
        <w:rPr>
          <w:bCs/>
        </w:rPr>
        <w:t>000 infants born in the Nort</w:t>
      </w:r>
      <w:r w:rsidR="0018724B">
        <w:rPr>
          <w:bCs/>
        </w:rPr>
        <w:t>h Yorkshire and Humber region due their first vaccinati</w:t>
      </w:r>
      <w:r>
        <w:rPr>
          <w:bCs/>
        </w:rPr>
        <w:t>on between January and June 2018</w:t>
      </w:r>
      <w:r w:rsidR="0018724B">
        <w:rPr>
          <w:bCs/>
        </w:rPr>
        <w:t xml:space="preserve">. It is envisaged that the findings may influence policy makers and service providers in developing strategies which ensure that preterm infants </w:t>
      </w:r>
      <w:r w:rsidR="002A3C94">
        <w:rPr>
          <w:bCs/>
        </w:rPr>
        <w:t>are vaccinated with minimal unwarranted delays.</w:t>
      </w:r>
    </w:p>
    <w:p w14:paraId="7985354E" w14:textId="065AD824" w:rsidR="002A3C94" w:rsidRDefault="002A3C94" w:rsidP="002A3C94">
      <w:pPr>
        <w:spacing w:line="360" w:lineRule="auto"/>
        <w:jc w:val="both"/>
        <w:rPr>
          <w:bCs/>
        </w:rPr>
      </w:pPr>
    </w:p>
    <w:p w14:paraId="662298A5" w14:textId="5846DB4A" w:rsidR="002A3C94" w:rsidRDefault="002A3C94" w:rsidP="002A3C94">
      <w:pPr>
        <w:spacing w:line="360" w:lineRule="auto"/>
        <w:jc w:val="both"/>
        <w:rPr>
          <w:bCs/>
        </w:rPr>
      </w:pPr>
    </w:p>
    <w:p w14:paraId="31578E8F" w14:textId="0704D447" w:rsidR="002A3C94" w:rsidRDefault="002A3C94" w:rsidP="002A3C94">
      <w:pPr>
        <w:spacing w:line="360" w:lineRule="auto"/>
        <w:jc w:val="both"/>
        <w:rPr>
          <w:bCs/>
        </w:rPr>
      </w:pPr>
    </w:p>
    <w:p w14:paraId="5F50507A" w14:textId="272C4A5D" w:rsidR="002A3C94" w:rsidRDefault="002A3C94" w:rsidP="002A3C94">
      <w:pPr>
        <w:spacing w:line="360" w:lineRule="auto"/>
        <w:jc w:val="both"/>
        <w:rPr>
          <w:bCs/>
        </w:rPr>
      </w:pPr>
    </w:p>
    <w:p w14:paraId="692D96CB" w14:textId="14FECEC1" w:rsidR="002A3C94" w:rsidRDefault="002A3C94" w:rsidP="002A3C94">
      <w:pPr>
        <w:spacing w:line="360" w:lineRule="auto"/>
        <w:jc w:val="both"/>
        <w:rPr>
          <w:bCs/>
        </w:rPr>
      </w:pPr>
    </w:p>
    <w:p w14:paraId="0E4E6FE6" w14:textId="72277D5A" w:rsidR="002A3C94" w:rsidRDefault="002A3C94" w:rsidP="002A3C94">
      <w:pPr>
        <w:spacing w:line="360" w:lineRule="auto"/>
        <w:jc w:val="both"/>
        <w:rPr>
          <w:bCs/>
        </w:rPr>
      </w:pPr>
    </w:p>
    <w:p w14:paraId="7000EBBD" w14:textId="6E60B036" w:rsidR="002A3C94" w:rsidRDefault="002A3C94" w:rsidP="002A3C94">
      <w:pPr>
        <w:spacing w:line="360" w:lineRule="auto"/>
        <w:jc w:val="both"/>
        <w:rPr>
          <w:bCs/>
        </w:rPr>
      </w:pPr>
    </w:p>
    <w:p w14:paraId="0E54FFE1" w14:textId="6DE922BE" w:rsidR="002A3C94" w:rsidRDefault="002A3C94" w:rsidP="002A3C94">
      <w:pPr>
        <w:spacing w:line="360" w:lineRule="auto"/>
        <w:jc w:val="both"/>
        <w:rPr>
          <w:bCs/>
        </w:rPr>
      </w:pPr>
    </w:p>
    <w:p w14:paraId="23E6C238" w14:textId="66B5A719" w:rsidR="002A3C94" w:rsidRDefault="002A3C94" w:rsidP="002A3C94">
      <w:pPr>
        <w:spacing w:line="360" w:lineRule="auto"/>
        <w:jc w:val="both"/>
        <w:rPr>
          <w:bCs/>
        </w:rPr>
      </w:pPr>
    </w:p>
    <w:p w14:paraId="61D8523B" w14:textId="42D78DB5" w:rsidR="002A3C94" w:rsidRDefault="002A3C94" w:rsidP="002A3C94">
      <w:pPr>
        <w:spacing w:line="360" w:lineRule="auto"/>
        <w:jc w:val="both"/>
        <w:rPr>
          <w:bCs/>
        </w:rPr>
      </w:pPr>
    </w:p>
    <w:p w14:paraId="62641E49" w14:textId="35EAC5F0" w:rsidR="002A3C94" w:rsidRDefault="002A3C94" w:rsidP="002A3C94">
      <w:pPr>
        <w:spacing w:line="360" w:lineRule="auto"/>
        <w:jc w:val="both"/>
        <w:rPr>
          <w:bCs/>
        </w:rPr>
      </w:pPr>
    </w:p>
    <w:p w14:paraId="0AB865DA" w14:textId="5F28119E" w:rsidR="002A3C94" w:rsidRDefault="002A3C94" w:rsidP="002A3C94">
      <w:pPr>
        <w:spacing w:line="360" w:lineRule="auto"/>
        <w:jc w:val="both"/>
        <w:rPr>
          <w:bCs/>
        </w:rPr>
      </w:pPr>
    </w:p>
    <w:p w14:paraId="1F38C7CC" w14:textId="60559814" w:rsidR="002A3C94" w:rsidRDefault="002A3C94" w:rsidP="002A3C94">
      <w:pPr>
        <w:spacing w:line="360" w:lineRule="auto"/>
        <w:jc w:val="both"/>
        <w:rPr>
          <w:bCs/>
        </w:rPr>
      </w:pPr>
    </w:p>
    <w:p w14:paraId="4EB80F3B" w14:textId="062D2DB8" w:rsidR="002A3C94" w:rsidRDefault="002A3C94" w:rsidP="002A3C94">
      <w:pPr>
        <w:spacing w:line="360" w:lineRule="auto"/>
        <w:jc w:val="both"/>
        <w:rPr>
          <w:bCs/>
        </w:rPr>
      </w:pPr>
    </w:p>
    <w:p w14:paraId="0E3F92CF" w14:textId="77777777" w:rsidR="002A3C94" w:rsidRPr="002A3C94" w:rsidRDefault="002A3C94" w:rsidP="002A3C94">
      <w:pPr>
        <w:spacing w:line="360" w:lineRule="auto"/>
        <w:jc w:val="both"/>
        <w:rPr>
          <w:bCs/>
        </w:rPr>
      </w:pPr>
    </w:p>
    <w:p w14:paraId="25BAF93C" w14:textId="77777777" w:rsidR="007A475A" w:rsidRPr="002A3C94" w:rsidRDefault="007A475A" w:rsidP="002A3C94">
      <w:pPr>
        <w:rPr>
          <w:b/>
          <w:bCs/>
          <w:u w:val="single"/>
        </w:rPr>
      </w:pPr>
      <w:r w:rsidRPr="002A3C94">
        <w:rPr>
          <w:b/>
          <w:bCs/>
          <w:u w:val="single"/>
        </w:rPr>
        <w:lastRenderedPageBreak/>
        <w:t>Contact details</w:t>
      </w:r>
    </w:p>
    <w:p w14:paraId="25BAF93D" w14:textId="77777777" w:rsidR="007A475A" w:rsidRDefault="007A475A" w:rsidP="007A475A">
      <w:pPr>
        <w:pStyle w:val="ListParagraph"/>
      </w:pPr>
    </w:p>
    <w:p w14:paraId="25BAF93E" w14:textId="77777777" w:rsidR="007A475A" w:rsidRDefault="00730CAA" w:rsidP="00730CAA">
      <w:pPr>
        <w:spacing w:line="240" w:lineRule="auto"/>
        <w:ind w:left="720"/>
      </w:pPr>
      <w:r>
        <w:t>Chief Investigator:</w:t>
      </w:r>
      <w:r>
        <w:tab/>
      </w:r>
      <w:r w:rsidRPr="00730CAA">
        <w:rPr>
          <w:b/>
          <w:bCs/>
        </w:rPr>
        <w:t>Helen Sisson, PhD student</w:t>
      </w:r>
    </w:p>
    <w:p w14:paraId="25BAF93F" w14:textId="77777777" w:rsidR="00730CAA" w:rsidRDefault="00730CAA" w:rsidP="00730CAA">
      <w:pPr>
        <w:spacing w:line="240" w:lineRule="auto"/>
        <w:ind w:left="720"/>
      </w:pPr>
      <w:r>
        <w:tab/>
      </w:r>
      <w:r>
        <w:tab/>
      </w:r>
      <w:r>
        <w:tab/>
        <w:t>Lecturer in Public Health</w:t>
      </w:r>
    </w:p>
    <w:p w14:paraId="25BAF940" w14:textId="77777777" w:rsidR="00730CAA" w:rsidRDefault="00730CAA" w:rsidP="00730CAA">
      <w:pPr>
        <w:spacing w:line="240" w:lineRule="auto"/>
        <w:ind w:left="720"/>
      </w:pPr>
      <w:r>
        <w:tab/>
      </w:r>
      <w:r>
        <w:tab/>
      </w:r>
      <w:r>
        <w:tab/>
        <w:t>Faculty of Health Sciences</w:t>
      </w:r>
    </w:p>
    <w:p w14:paraId="25BAF941" w14:textId="77777777" w:rsidR="00730CAA" w:rsidRDefault="00730CAA" w:rsidP="00730CAA">
      <w:pPr>
        <w:spacing w:line="240" w:lineRule="auto"/>
        <w:ind w:left="720"/>
      </w:pPr>
      <w:r>
        <w:tab/>
      </w:r>
      <w:r>
        <w:tab/>
      </w:r>
      <w:r>
        <w:tab/>
        <w:t>University of Hull</w:t>
      </w:r>
    </w:p>
    <w:p w14:paraId="25BAF942" w14:textId="77777777" w:rsidR="00730CAA" w:rsidRDefault="00730CAA" w:rsidP="00730CAA">
      <w:pPr>
        <w:spacing w:line="240" w:lineRule="auto"/>
        <w:ind w:left="720"/>
      </w:pPr>
      <w:r>
        <w:tab/>
      </w:r>
      <w:r>
        <w:tab/>
      </w:r>
      <w:r>
        <w:tab/>
        <w:t>Cottingham Rd, Hull, HU67RX</w:t>
      </w:r>
    </w:p>
    <w:p w14:paraId="25BAF943" w14:textId="77777777" w:rsidR="00730CAA" w:rsidRDefault="00730CAA" w:rsidP="00730CAA">
      <w:pPr>
        <w:spacing w:line="240" w:lineRule="auto"/>
        <w:ind w:left="720"/>
      </w:pPr>
      <w:r>
        <w:tab/>
      </w:r>
      <w:r>
        <w:tab/>
      </w:r>
      <w:r>
        <w:tab/>
      </w:r>
      <w:hyperlink r:id="rId8" w:history="1">
        <w:r w:rsidRPr="00285707">
          <w:rPr>
            <w:rStyle w:val="Hyperlink"/>
          </w:rPr>
          <w:t>h.sisson@hull.ac.uk</w:t>
        </w:r>
      </w:hyperlink>
    </w:p>
    <w:p w14:paraId="25BAF944" w14:textId="77777777" w:rsidR="00730CAA" w:rsidRDefault="00730CAA" w:rsidP="00730CAA">
      <w:pPr>
        <w:spacing w:line="240" w:lineRule="auto"/>
        <w:ind w:left="720"/>
      </w:pPr>
      <w:r>
        <w:tab/>
      </w:r>
      <w:r>
        <w:tab/>
      </w:r>
      <w:r>
        <w:tab/>
        <w:t>01482 464538</w:t>
      </w:r>
    </w:p>
    <w:p w14:paraId="25BAF945" w14:textId="77777777" w:rsidR="00730CAA" w:rsidRDefault="00730CAA" w:rsidP="00730CAA">
      <w:pPr>
        <w:spacing w:line="240" w:lineRule="auto"/>
        <w:ind w:left="720"/>
      </w:pPr>
    </w:p>
    <w:p w14:paraId="25BAF946" w14:textId="77777777" w:rsidR="00730CAA" w:rsidRDefault="00730CAA" w:rsidP="00730CAA">
      <w:pPr>
        <w:spacing w:line="240" w:lineRule="auto"/>
        <w:ind w:left="720"/>
      </w:pPr>
      <w:r>
        <w:t>Supervisor 1:</w:t>
      </w:r>
      <w:r>
        <w:tab/>
      </w:r>
      <w:r>
        <w:tab/>
      </w:r>
      <w:r w:rsidRPr="00730CAA">
        <w:rPr>
          <w:b/>
          <w:bCs/>
        </w:rPr>
        <w:t>Dr Eric Gardiner</w:t>
      </w:r>
    </w:p>
    <w:p w14:paraId="25BAF947" w14:textId="77777777" w:rsidR="00730CAA" w:rsidRDefault="00730CAA" w:rsidP="00730CAA">
      <w:pPr>
        <w:spacing w:line="240" w:lineRule="auto"/>
        <w:ind w:left="720"/>
      </w:pPr>
      <w:r>
        <w:tab/>
      </w:r>
      <w:r>
        <w:tab/>
      </w:r>
      <w:r>
        <w:tab/>
        <w:t>Statistician</w:t>
      </w:r>
    </w:p>
    <w:p w14:paraId="25BAF948" w14:textId="77777777" w:rsidR="00730CAA" w:rsidRDefault="00730CAA" w:rsidP="00730CAA">
      <w:pPr>
        <w:spacing w:line="240" w:lineRule="auto"/>
        <w:ind w:left="720"/>
      </w:pPr>
      <w:r>
        <w:tab/>
      </w:r>
      <w:r>
        <w:tab/>
      </w:r>
      <w:r>
        <w:tab/>
        <w:t>Faculty of Health Sciences</w:t>
      </w:r>
    </w:p>
    <w:p w14:paraId="25BAF949" w14:textId="77777777" w:rsidR="00730CAA" w:rsidRDefault="00730CAA" w:rsidP="00730CAA">
      <w:pPr>
        <w:spacing w:line="240" w:lineRule="auto"/>
        <w:ind w:left="720"/>
      </w:pPr>
      <w:r>
        <w:tab/>
      </w:r>
      <w:r>
        <w:tab/>
      </w:r>
      <w:r>
        <w:tab/>
        <w:t>University of Hull</w:t>
      </w:r>
    </w:p>
    <w:p w14:paraId="25BAF94A" w14:textId="77777777" w:rsidR="00730CAA" w:rsidRDefault="00730CAA" w:rsidP="00730CAA">
      <w:pPr>
        <w:spacing w:line="240" w:lineRule="auto"/>
        <w:ind w:left="720"/>
      </w:pPr>
      <w:r>
        <w:tab/>
      </w:r>
      <w:r>
        <w:tab/>
      </w:r>
      <w:r>
        <w:tab/>
        <w:t>Cottingham Rd, Hull, HU67RX</w:t>
      </w:r>
    </w:p>
    <w:p w14:paraId="25BAF94B" w14:textId="77777777" w:rsidR="00730CAA" w:rsidRDefault="00730CAA" w:rsidP="00730CAA">
      <w:pPr>
        <w:spacing w:line="240" w:lineRule="auto"/>
        <w:ind w:left="720"/>
      </w:pPr>
      <w:r>
        <w:tab/>
      </w:r>
      <w:r>
        <w:tab/>
      </w:r>
      <w:r>
        <w:tab/>
      </w:r>
      <w:hyperlink r:id="rId9" w:history="1">
        <w:r w:rsidRPr="00285707">
          <w:rPr>
            <w:rStyle w:val="Hyperlink"/>
          </w:rPr>
          <w:t>e.d.gardiner@hull.ac.uk</w:t>
        </w:r>
      </w:hyperlink>
      <w:r>
        <w:t xml:space="preserve"> </w:t>
      </w:r>
    </w:p>
    <w:p w14:paraId="25BAF94C" w14:textId="77777777" w:rsidR="00730CAA" w:rsidRDefault="00730CAA" w:rsidP="00730CAA">
      <w:pPr>
        <w:spacing w:line="240" w:lineRule="auto"/>
        <w:ind w:left="720"/>
      </w:pPr>
    </w:p>
    <w:p w14:paraId="25BAF94D" w14:textId="77777777" w:rsidR="00730CAA" w:rsidRDefault="00730CAA" w:rsidP="00730CAA">
      <w:pPr>
        <w:spacing w:line="240" w:lineRule="auto"/>
        <w:ind w:left="720"/>
      </w:pPr>
      <w:r>
        <w:t>Supervisor 2:</w:t>
      </w:r>
      <w:r>
        <w:tab/>
      </w:r>
      <w:r>
        <w:tab/>
      </w:r>
      <w:r w:rsidRPr="00730CAA">
        <w:rPr>
          <w:b/>
          <w:bCs/>
        </w:rPr>
        <w:t>Professor Roger Watson</w:t>
      </w:r>
    </w:p>
    <w:p w14:paraId="25BAF94E" w14:textId="77777777" w:rsidR="00730CAA" w:rsidRDefault="00730CAA" w:rsidP="00730CAA">
      <w:pPr>
        <w:spacing w:line="240" w:lineRule="auto"/>
        <w:ind w:left="720"/>
      </w:pPr>
      <w:r>
        <w:tab/>
      </w:r>
      <w:r>
        <w:tab/>
      </w:r>
      <w:r>
        <w:tab/>
        <w:t>Professor of Nursing</w:t>
      </w:r>
    </w:p>
    <w:p w14:paraId="25BAF94F" w14:textId="77777777" w:rsidR="00730CAA" w:rsidRDefault="00730CAA" w:rsidP="00730CAA">
      <w:pPr>
        <w:spacing w:line="240" w:lineRule="auto"/>
        <w:ind w:left="2160" w:firstLine="720"/>
      </w:pPr>
      <w:r>
        <w:t>Faculty of Health Sciences</w:t>
      </w:r>
    </w:p>
    <w:p w14:paraId="25BAF950" w14:textId="77777777" w:rsidR="00730CAA" w:rsidRDefault="00730CAA" w:rsidP="00730CAA">
      <w:pPr>
        <w:spacing w:line="240" w:lineRule="auto"/>
        <w:ind w:left="720"/>
      </w:pPr>
      <w:r>
        <w:tab/>
      </w:r>
      <w:r>
        <w:tab/>
      </w:r>
      <w:r>
        <w:tab/>
        <w:t>University of Hull</w:t>
      </w:r>
    </w:p>
    <w:p w14:paraId="25BAF951" w14:textId="77777777" w:rsidR="00730CAA" w:rsidRDefault="00730CAA" w:rsidP="00730CAA">
      <w:pPr>
        <w:spacing w:line="240" w:lineRule="auto"/>
        <w:ind w:left="720"/>
      </w:pPr>
      <w:r>
        <w:tab/>
      </w:r>
      <w:r>
        <w:tab/>
      </w:r>
      <w:r>
        <w:tab/>
        <w:t>Cottingham Rd, Hull, HU67RX</w:t>
      </w:r>
    </w:p>
    <w:p w14:paraId="25BAF952" w14:textId="77777777" w:rsidR="00730CAA" w:rsidRDefault="00730CAA" w:rsidP="00730CAA">
      <w:pPr>
        <w:spacing w:line="240" w:lineRule="auto"/>
        <w:ind w:left="720"/>
      </w:pPr>
      <w:r>
        <w:tab/>
      </w:r>
      <w:r>
        <w:tab/>
      </w:r>
      <w:r>
        <w:tab/>
      </w:r>
      <w:hyperlink r:id="rId10" w:history="1">
        <w:r w:rsidRPr="00285707">
          <w:rPr>
            <w:rStyle w:val="Hyperlink"/>
          </w:rPr>
          <w:t>r.watson@hull.ac.uk</w:t>
        </w:r>
      </w:hyperlink>
      <w:r>
        <w:t xml:space="preserve"> </w:t>
      </w:r>
    </w:p>
    <w:p w14:paraId="25BAF953" w14:textId="77777777" w:rsidR="00000466" w:rsidRDefault="00000466" w:rsidP="00730CAA">
      <w:pPr>
        <w:spacing w:line="240" w:lineRule="auto"/>
        <w:ind w:left="720"/>
      </w:pPr>
    </w:p>
    <w:p w14:paraId="25BAF954" w14:textId="1A6A2B68" w:rsidR="00000466" w:rsidRDefault="00000466" w:rsidP="00730CAA">
      <w:pPr>
        <w:spacing w:line="240" w:lineRule="auto"/>
        <w:ind w:left="720"/>
      </w:pPr>
      <w:r w:rsidRPr="002A3C94">
        <w:t>Sponsor:</w:t>
      </w:r>
      <w:r w:rsidR="002A3C94">
        <w:tab/>
      </w:r>
      <w:r w:rsidR="002A3C94">
        <w:tab/>
        <w:t>University of Hull, Cottingham Rd, Hull, HU67RX</w:t>
      </w:r>
    </w:p>
    <w:p w14:paraId="25BAF955" w14:textId="77777777" w:rsidR="00000466" w:rsidRDefault="00000466" w:rsidP="00730CAA">
      <w:pPr>
        <w:spacing w:line="240" w:lineRule="auto"/>
        <w:ind w:left="720"/>
      </w:pPr>
    </w:p>
    <w:p w14:paraId="1A7B6F5A" w14:textId="01C0C154" w:rsidR="00250D7D" w:rsidRDefault="00000466" w:rsidP="00250D7D">
      <w:pPr>
        <w:spacing w:line="360" w:lineRule="auto"/>
        <w:ind w:left="2880" w:hanging="2160"/>
      </w:pPr>
      <w:r w:rsidRPr="002A3C94">
        <w:t>Lead site:</w:t>
      </w:r>
      <w:r w:rsidR="002A3C94">
        <w:tab/>
      </w:r>
      <w:r>
        <w:t>Hul</w:t>
      </w:r>
      <w:r w:rsidR="002A3C94">
        <w:t xml:space="preserve">l </w:t>
      </w:r>
      <w:r w:rsidR="00224706">
        <w:t>University Teaching Hospitals</w:t>
      </w:r>
      <w:r w:rsidR="002A3C94">
        <w:t xml:space="preserve"> NHS Trust, </w:t>
      </w:r>
      <w:r w:rsidR="00D401F7">
        <w:t xml:space="preserve">Research &amp; Development Office, Office 13, </w:t>
      </w:r>
      <w:r w:rsidR="002A3C94">
        <w:t>Daisy Building, Castle Hill Hos</w:t>
      </w:r>
      <w:r w:rsidR="00250D7D">
        <w:t>pital, Castle Road, Cottingham</w:t>
      </w:r>
      <w:r w:rsidR="00D401F7">
        <w:t>,</w:t>
      </w:r>
      <w:r w:rsidR="00250D7D">
        <w:t xml:space="preserve">   HU165JQ</w:t>
      </w:r>
    </w:p>
    <w:p w14:paraId="59EECA0B" w14:textId="21782DA2" w:rsidR="00CC4BCE" w:rsidRDefault="00CC4BCE" w:rsidP="002A3C94">
      <w:pPr>
        <w:spacing w:line="360" w:lineRule="auto"/>
        <w:ind w:left="2880" w:hanging="2160"/>
        <w:sectPr w:rsidR="00CC4BCE" w:rsidSect="00CC4BCE">
          <w:footerReference w:type="default" r:id="rId11"/>
          <w:pgSz w:w="11906" w:h="16838"/>
          <w:pgMar w:top="1440" w:right="1440" w:bottom="1440" w:left="1440" w:header="708" w:footer="708" w:gutter="0"/>
          <w:pgNumType w:start="1"/>
          <w:cols w:space="708"/>
          <w:docGrid w:linePitch="360"/>
        </w:sectPr>
      </w:pPr>
    </w:p>
    <w:p w14:paraId="01F7E519" w14:textId="03AB581E" w:rsidR="006B5FCF" w:rsidRDefault="006B5FCF" w:rsidP="002A3C94">
      <w:pPr>
        <w:rPr>
          <w:b/>
          <w:bCs/>
          <w:u w:val="single"/>
        </w:rPr>
      </w:pPr>
    </w:p>
    <w:p w14:paraId="3AC352D5" w14:textId="77777777" w:rsidR="006B5FCF" w:rsidRPr="006B5FCF" w:rsidRDefault="006B5FCF" w:rsidP="008012FB">
      <w:pPr>
        <w:jc w:val="center"/>
        <w:rPr>
          <w:b/>
          <w:bCs/>
        </w:rPr>
      </w:pPr>
      <w:r w:rsidRPr="006B5FCF">
        <w:rPr>
          <w:b/>
          <w:bCs/>
        </w:rPr>
        <w:t>List of contents</w:t>
      </w:r>
    </w:p>
    <w:tbl>
      <w:tblPr>
        <w:tblStyle w:val="TableGrid"/>
        <w:tblpPr w:leftFromText="180" w:rightFromText="180" w:vertAnchor="page" w:horzAnchor="margin" w:tblpXSpec="center" w:tblpY="3556"/>
        <w:tblW w:w="0" w:type="auto"/>
        <w:tblLook w:val="04A0" w:firstRow="1" w:lastRow="0" w:firstColumn="1" w:lastColumn="0" w:noHBand="0" w:noVBand="1"/>
      </w:tblPr>
      <w:tblGrid>
        <w:gridCol w:w="4508"/>
        <w:gridCol w:w="1016"/>
      </w:tblGrid>
      <w:tr w:rsidR="006B5FCF" w:rsidRPr="008012FB" w14:paraId="43792906" w14:textId="77777777" w:rsidTr="008012FB">
        <w:tc>
          <w:tcPr>
            <w:tcW w:w="5524" w:type="dxa"/>
            <w:gridSpan w:val="2"/>
          </w:tcPr>
          <w:p w14:paraId="7B31E05C" w14:textId="4AE30A65" w:rsidR="006B5FCF" w:rsidRPr="008012FB" w:rsidRDefault="006B5FCF" w:rsidP="008012FB">
            <w:pPr>
              <w:rPr>
                <w:b/>
                <w:bCs/>
                <w:sz w:val="28"/>
              </w:rPr>
            </w:pPr>
            <w:r w:rsidRPr="008012FB">
              <w:rPr>
                <w:b/>
                <w:bCs/>
                <w:sz w:val="28"/>
              </w:rPr>
              <w:t>General Information</w:t>
            </w:r>
          </w:p>
        </w:tc>
      </w:tr>
      <w:tr w:rsidR="00CC4BCE" w:rsidRPr="008012FB" w14:paraId="25419EF5" w14:textId="77777777" w:rsidTr="008012FB">
        <w:trPr>
          <w:trHeight w:val="826"/>
        </w:trPr>
        <w:tc>
          <w:tcPr>
            <w:tcW w:w="5524" w:type="dxa"/>
            <w:gridSpan w:val="2"/>
          </w:tcPr>
          <w:p w14:paraId="2EBBF644" w14:textId="77777777" w:rsidR="00CC4BCE" w:rsidRPr="008012FB" w:rsidRDefault="00CC4BCE" w:rsidP="008012FB">
            <w:pPr>
              <w:rPr>
                <w:sz w:val="28"/>
              </w:rPr>
            </w:pPr>
            <w:r w:rsidRPr="008012FB">
              <w:rPr>
                <w:sz w:val="28"/>
              </w:rPr>
              <w:t>Title page</w:t>
            </w:r>
          </w:p>
          <w:p w14:paraId="7BE36C49" w14:textId="77777777" w:rsidR="00CC4BCE" w:rsidRPr="008012FB" w:rsidRDefault="00CC4BCE" w:rsidP="008012FB">
            <w:pPr>
              <w:rPr>
                <w:sz w:val="28"/>
              </w:rPr>
            </w:pPr>
            <w:r w:rsidRPr="008012FB">
              <w:rPr>
                <w:sz w:val="28"/>
              </w:rPr>
              <w:t>Abstract</w:t>
            </w:r>
          </w:p>
          <w:p w14:paraId="21E9E6A2" w14:textId="5EBE27B3" w:rsidR="00CC4BCE" w:rsidRPr="008012FB" w:rsidRDefault="00CC4BCE" w:rsidP="008012FB">
            <w:pPr>
              <w:rPr>
                <w:sz w:val="28"/>
              </w:rPr>
            </w:pPr>
            <w:r w:rsidRPr="008012FB">
              <w:rPr>
                <w:sz w:val="28"/>
              </w:rPr>
              <w:t>Contact details</w:t>
            </w:r>
          </w:p>
        </w:tc>
      </w:tr>
      <w:tr w:rsidR="006B5FCF" w:rsidRPr="008012FB" w14:paraId="795FC865" w14:textId="77777777" w:rsidTr="008012FB">
        <w:tc>
          <w:tcPr>
            <w:tcW w:w="5524" w:type="dxa"/>
            <w:gridSpan w:val="2"/>
          </w:tcPr>
          <w:p w14:paraId="3A26B0F7" w14:textId="77777777" w:rsidR="006B5FCF" w:rsidRPr="008012FB" w:rsidRDefault="006B5FCF" w:rsidP="008012FB">
            <w:pPr>
              <w:rPr>
                <w:b/>
                <w:bCs/>
                <w:sz w:val="28"/>
              </w:rPr>
            </w:pPr>
            <w:r w:rsidRPr="008012FB">
              <w:rPr>
                <w:b/>
                <w:bCs/>
                <w:sz w:val="28"/>
              </w:rPr>
              <w:t>Section</w:t>
            </w:r>
          </w:p>
        </w:tc>
      </w:tr>
      <w:tr w:rsidR="006B5FCF" w:rsidRPr="008012FB" w14:paraId="716D9154" w14:textId="77777777" w:rsidTr="008012FB">
        <w:tc>
          <w:tcPr>
            <w:tcW w:w="4508" w:type="dxa"/>
          </w:tcPr>
          <w:p w14:paraId="6A97D4A2" w14:textId="2F1974D2" w:rsidR="006B5FCF" w:rsidRPr="008012FB" w:rsidRDefault="006B5FCF" w:rsidP="008012FB">
            <w:pPr>
              <w:pStyle w:val="ListParagraph"/>
              <w:numPr>
                <w:ilvl w:val="0"/>
                <w:numId w:val="21"/>
              </w:numPr>
              <w:rPr>
                <w:sz w:val="28"/>
              </w:rPr>
            </w:pPr>
            <w:r w:rsidRPr="008012FB">
              <w:rPr>
                <w:sz w:val="28"/>
              </w:rPr>
              <w:t>Background</w:t>
            </w:r>
          </w:p>
        </w:tc>
        <w:tc>
          <w:tcPr>
            <w:tcW w:w="1016" w:type="dxa"/>
          </w:tcPr>
          <w:p w14:paraId="5DC53420" w14:textId="35AA97BF" w:rsidR="006B5FCF" w:rsidRPr="008012FB" w:rsidRDefault="006620B4" w:rsidP="008012FB">
            <w:pPr>
              <w:rPr>
                <w:sz w:val="28"/>
              </w:rPr>
            </w:pPr>
            <w:r w:rsidRPr="008012FB">
              <w:rPr>
                <w:sz w:val="28"/>
              </w:rPr>
              <w:t>1</w:t>
            </w:r>
          </w:p>
        </w:tc>
      </w:tr>
      <w:tr w:rsidR="006B5FCF" w:rsidRPr="008012FB" w14:paraId="5C1AA816" w14:textId="77777777" w:rsidTr="008012FB">
        <w:tc>
          <w:tcPr>
            <w:tcW w:w="4508" w:type="dxa"/>
          </w:tcPr>
          <w:p w14:paraId="136D3E53" w14:textId="3D337B43" w:rsidR="006B5FCF" w:rsidRPr="008012FB" w:rsidRDefault="006B5FCF" w:rsidP="008012FB">
            <w:pPr>
              <w:pStyle w:val="ListParagraph"/>
              <w:numPr>
                <w:ilvl w:val="0"/>
                <w:numId w:val="21"/>
              </w:numPr>
              <w:rPr>
                <w:sz w:val="28"/>
              </w:rPr>
            </w:pPr>
            <w:r w:rsidRPr="008012FB">
              <w:rPr>
                <w:sz w:val="28"/>
              </w:rPr>
              <w:t>Research aim and objectives</w:t>
            </w:r>
          </w:p>
        </w:tc>
        <w:tc>
          <w:tcPr>
            <w:tcW w:w="1016" w:type="dxa"/>
          </w:tcPr>
          <w:p w14:paraId="60FCC4E6" w14:textId="6C8C4011" w:rsidR="006B5FCF" w:rsidRPr="008012FB" w:rsidRDefault="006620B4" w:rsidP="008012FB">
            <w:pPr>
              <w:rPr>
                <w:sz w:val="28"/>
              </w:rPr>
            </w:pPr>
            <w:r w:rsidRPr="008012FB">
              <w:rPr>
                <w:sz w:val="28"/>
              </w:rPr>
              <w:t>2</w:t>
            </w:r>
          </w:p>
        </w:tc>
      </w:tr>
      <w:tr w:rsidR="006B5FCF" w:rsidRPr="008012FB" w14:paraId="002CCC75" w14:textId="77777777" w:rsidTr="008012FB">
        <w:tc>
          <w:tcPr>
            <w:tcW w:w="4508" w:type="dxa"/>
          </w:tcPr>
          <w:p w14:paraId="1EEDE0C0" w14:textId="29696A6C" w:rsidR="006B5FCF" w:rsidRPr="008012FB" w:rsidRDefault="006B5FCF" w:rsidP="008012FB">
            <w:pPr>
              <w:pStyle w:val="ListParagraph"/>
              <w:numPr>
                <w:ilvl w:val="0"/>
                <w:numId w:val="21"/>
              </w:numPr>
              <w:rPr>
                <w:sz w:val="28"/>
              </w:rPr>
            </w:pPr>
            <w:r w:rsidRPr="008012FB">
              <w:rPr>
                <w:sz w:val="28"/>
              </w:rPr>
              <w:t>Study design/methods</w:t>
            </w:r>
          </w:p>
          <w:p w14:paraId="26D3E0F2" w14:textId="7AE78949" w:rsidR="0056609D" w:rsidRDefault="00950580" w:rsidP="008012FB">
            <w:pPr>
              <w:pStyle w:val="ListParagraph"/>
              <w:numPr>
                <w:ilvl w:val="1"/>
                <w:numId w:val="21"/>
              </w:numPr>
              <w:rPr>
                <w:sz w:val="28"/>
              </w:rPr>
            </w:pPr>
            <w:r>
              <w:rPr>
                <w:sz w:val="28"/>
              </w:rPr>
              <w:t xml:space="preserve"> </w:t>
            </w:r>
            <w:r w:rsidR="0056609D" w:rsidRPr="008012FB">
              <w:rPr>
                <w:sz w:val="28"/>
              </w:rPr>
              <w:t>Defining the region</w:t>
            </w:r>
          </w:p>
          <w:p w14:paraId="5578B361" w14:textId="413CE509" w:rsidR="00950580" w:rsidRPr="008012FB" w:rsidRDefault="00950580" w:rsidP="008012FB">
            <w:pPr>
              <w:pStyle w:val="ListParagraph"/>
              <w:numPr>
                <w:ilvl w:val="1"/>
                <w:numId w:val="21"/>
              </w:numPr>
              <w:rPr>
                <w:sz w:val="28"/>
              </w:rPr>
            </w:pPr>
            <w:r>
              <w:rPr>
                <w:sz w:val="28"/>
              </w:rPr>
              <w:t xml:space="preserve"> Data transfer </w:t>
            </w:r>
          </w:p>
          <w:p w14:paraId="05AF297D" w14:textId="566D556D" w:rsidR="0056609D" w:rsidRPr="008012FB" w:rsidRDefault="00950580" w:rsidP="008012FB">
            <w:pPr>
              <w:pStyle w:val="ListParagraph"/>
              <w:numPr>
                <w:ilvl w:val="1"/>
                <w:numId w:val="21"/>
              </w:numPr>
              <w:rPr>
                <w:sz w:val="28"/>
              </w:rPr>
            </w:pPr>
            <w:r>
              <w:rPr>
                <w:sz w:val="28"/>
              </w:rPr>
              <w:t xml:space="preserve"> </w:t>
            </w:r>
            <w:r w:rsidR="0056609D" w:rsidRPr="008012FB">
              <w:rPr>
                <w:sz w:val="28"/>
              </w:rPr>
              <w:t>Data to be collected</w:t>
            </w:r>
          </w:p>
        </w:tc>
        <w:tc>
          <w:tcPr>
            <w:tcW w:w="1016" w:type="dxa"/>
          </w:tcPr>
          <w:p w14:paraId="5B82C988" w14:textId="77777777" w:rsidR="006B5FCF" w:rsidRPr="008012FB" w:rsidRDefault="006620B4" w:rsidP="008012FB">
            <w:pPr>
              <w:rPr>
                <w:sz w:val="28"/>
              </w:rPr>
            </w:pPr>
            <w:r w:rsidRPr="008012FB">
              <w:rPr>
                <w:sz w:val="28"/>
              </w:rPr>
              <w:t>2</w:t>
            </w:r>
          </w:p>
          <w:p w14:paraId="4358CA0F" w14:textId="77777777" w:rsidR="006620B4" w:rsidRPr="008012FB" w:rsidRDefault="006620B4" w:rsidP="008012FB">
            <w:pPr>
              <w:rPr>
                <w:sz w:val="28"/>
              </w:rPr>
            </w:pPr>
            <w:r w:rsidRPr="008012FB">
              <w:rPr>
                <w:sz w:val="28"/>
              </w:rPr>
              <w:t>3</w:t>
            </w:r>
          </w:p>
          <w:p w14:paraId="266C7C13" w14:textId="77777777" w:rsidR="006620B4" w:rsidRDefault="006620B4" w:rsidP="008012FB">
            <w:pPr>
              <w:rPr>
                <w:sz w:val="28"/>
              </w:rPr>
            </w:pPr>
            <w:r w:rsidRPr="008012FB">
              <w:rPr>
                <w:sz w:val="28"/>
              </w:rPr>
              <w:t>4</w:t>
            </w:r>
          </w:p>
          <w:p w14:paraId="2BD75D8E" w14:textId="1DE9EB49" w:rsidR="00950580" w:rsidRPr="008012FB" w:rsidRDefault="00950580" w:rsidP="008012FB">
            <w:pPr>
              <w:rPr>
                <w:sz w:val="28"/>
              </w:rPr>
            </w:pPr>
            <w:r>
              <w:rPr>
                <w:sz w:val="28"/>
              </w:rPr>
              <w:t>4</w:t>
            </w:r>
          </w:p>
        </w:tc>
      </w:tr>
      <w:tr w:rsidR="006B5FCF" w:rsidRPr="008012FB" w14:paraId="1ACCB503" w14:textId="77777777" w:rsidTr="008012FB">
        <w:tc>
          <w:tcPr>
            <w:tcW w:w="4508" w:type="dxa"/>
          </w:tcPr>
          <w:p w14:paraId="51AC5D00" w14:textId="404C83AE" w:rsidR="006B5FCF" w:rsidRPr="008012FB" w:rsidRDefault="006B5FCF" w:rsidP="008012FB">
            <w:pPr>
              <w:pStyle w:val="ListParagraph"/>
              <w:numPr>
                <w:ilvl w:val="0"/>
                <w:numId w:val="21"/>
              </w:numPr>
              <w:rPr>
                <w:sz w:val="28"/>
              </w:rPr>
            </w:pPr>
            <w:r w:rsidRPr="008012FB">
              <w:rPr>
                <w:sz w:val="28"/>
              </w:rPr>
              <w:t>Ethics and approvals</w:t>
            </w:r>
          </w:p>
        </w:tc>
        <w:tc>
          <w:tcPr>
            <w:tcW w:w="1016" w:type="dxa"/>
          </w:tcPr>
          <w:p w14:paraId="5C78A131" w14:textId="00945731" w:rsidR="006B5FCF" w:rsidRPr="008012FB" w:rsidRDefault="00224706" w:rsidP="008012FB">
            <w:pPr>
              <w:rPr>
                <w:sz w:val="28"/>
              </w:rPr>
            </w:pPr>
            <w:r>
              <w:rPr>
                <w:sz w:val="28"/>
              </w:rPr>
              <w:t>7</w:t>
            </w:r>
          </w:p>
        </w:tc>
      </w:tr>
      <w:tr w:rsidR="006B5FCF" w:rsidRPr="008012FB" w14:paraId="725408D1" w14:textId="77777777" w:rsidTr="008012FB">
        <w:tc>
          <w:tcPr>
            <w:tcW w:w="4508" w:type="dxa"/>
          </w:tcPr>
          <w:p w14:paraId="37524462" w14:textId="4D37C830" w:rsidR="006B5FCF" w:rsidRPr="008012FB" w:rsidRDefault="006B5FCF" w:rsidP="008012FB">
            <w:pPr>
              <w:pStyle w:val="ListParagraph"/>
              <w:numPr>
                <w:ilvl w:val="0"/>
                <w:numId w:val="21"/>
              </w:numPr>
              <w:rPr>
                <w:sz w:val="28"/>
              </w:rPr>
            </w:pPr>
            <w:r w:rsidRPr="008012FB">
              <w:rPr>
                <w:sz w:val="28"/>
              </w:rPr>
              <w:t>Finance and insurance</w:t>
            </w:r>
          </w:p>
        </w:tc>
        <w:tc>
          <w:tcPr>
            <w:tcW w:w="1016" w:type="dxa"/>
          </w:tcPr>
          <w:p w14:paraId="6A163DF6" w14:textId="5F5E8AC1" w:rsidR="006B5FCF" w:rsidRPr="008012FB" w:rsidRDefault="006620B4" w:rsidP="008012FB">
            <w:pPr>
              <w:rPr>
                <w:sz w:val="28"/>
              </w:rPr>
            </w:pPr>
            <w:r w:rsidRPr="008012FB">
              <w:rPr>
                <w:sz w:val="28"/>
              </w:rPr>
              <w:t>8</w:t>
            </w:r>
          </w:p>
        </w:tc>
      </w:tr>
      <w:tr w:rsidR="006B5FCF" w:rsidRPr="008012FB" w14:paraId="6F31195C" w14:textId="77777777" w:rsidTr="008012FB">
        <w:tc>
          <w:tcPr>
            <w:tcW w:w="4508" w:type="dxa"/>
          </w:tcPr>
          <w:p w14:paraId="5C3AD289" w14:textId="7007B4D9" w:rsidR="006B5FCF" w:rsidRPr="008012FB" w:rsidRDefault="006B5FCF" w:rsidP="008012FB">
            <w:pPr>
              <w:pStyle w:val="ListParagraph"/>
              <w:numPr>
                <w:ilvl w:val="0"/>
                <w:numId w:val="21"/>
              </w:numPr>
              <w:rPr>
                <w:sz w:val="28"/>
              </w:rPr>
            </w:pPr>
            <w:r w:rsidRPr="008012FB">
              <w:rPr>
                <w:sz w:val="28"/>
              </w:rPr>
              <w:t>Dissemination</w:t>
            </w:r>
          </w:p>
        </w:tc>
        <w:tc>
          <w:tcPr>
            <w:tcW w:w="1016" w:type="dxa"/>
          </w:tcPr>
          <w:p w14:paraId="57ABA6F6" w14:textId="48FDF570" w:rsidR="006B5FCF" w:rsidRPr="008012FB" w:rsidRDefault="006620B4" w:rsidP="008012FB">
            <w:pPr>
              <w:rPr>
                <w:sz w:val="28"/>
              </w:rPr>
            </w:pPr>
            <w:r w:rsidRPr="008012FB">
              <w:rPr>
                <w:sz w:val="28"/>
              </w:rPr>
              <w:t>8</w:t>
            </w:r>
          </w:p>
        </w:tc>
      </w:tr>
      <w:tr w:rsidR="006B5FCF" w:rsidRPr="008012FB" w14:paraId="6357511B" w14:textId="77777777" w:rsidTr="008012FB">
        <w:tc>
          <w:tcPr>
            <w:tcW w:w="4508" w:type="dxa"/>
          </w:tcPr>
          <w:p w14:paraId="0C15E40E" w14:textId="72B1D9BF" w:rsidR="006B5FCF" w:rsidRPr="008012FB" w:rsidRDefault="006B5FCF" w:rsidP="008012FB">
            <w:pPr>
              <w:pStyle w:val="ListParagraph"/>
              <w:numPr>
                <w:ilvl w:val="0"/>
                <w:numId w:val="21"/>
              </w:numPr>
              <w:rPr>
                <w:sz w:val="28"/>
              </w:rPr>
            </w:pPr>
            <w:r w:rsidRPr="008012FB">
              <w:rPr>
                <w:sz w:val="28"/>
              </w:rPr>
              <w:t>References</w:t>
            </w:r>
          </w:p>
        </w:tc>
        <w:tc>
          <w:tcPr>
            <w:tcW w:w="1016" w:type="dxa"/>
          </w:tcPr>
          <w:p w14:paraId="3EDA9A1E" w14:textId="51BDB608" w:rsidR="006B5FCF" w:rsidRPr="008012FB" w:rsidRDefault="006620B4" w:rsidP="008012FB">
            <w:pPr>
              <w:rPr>
                <w:sz w:val="28"/>
              </w:rPr>
            </w:pPr>
            <w:r w:rsidRPr="008012FB">
              <w:rPr>
                <w:sz w:val="28"/>
              </w:rPr>
              <w:t>9</w:t>
            </w:r>
          </w:p>
        </w:tc>
      </w:tr>
    </w:tbl>
    <w:p w14:paraId="3A48F042" w14:textId="77777777" w:rsidR="006B5FCF" w:rsidRDefault="006B5FCF" w:rsidP="006B5FCF">
      <w:pPr>
        <w:rPr>
          <w:b/>
          <w:bCs/>
          <w:u w:val="single"/>
        </w:rPr>
      </w:pPr>
    </w:p>
    <w:p w14:paraId="1B35E859" w14:textId="77777777" w:rsidR="006B5FCF" w:rsidRDefault="006B5FCF" w:rsidP="006B5FCF">
      <w:pPr>
        <w:rPr>
          <w:b/>
          <w:bCs/>
          <w:u w:val="single"/>
        </w:rPr>
      </w:pPr>
    </w:p>
    <w:p w14:paraId="7E1F6609" w14:textId="77777777" w:rsidR="006B5FCF" w:rsidRDefault="006B5FCF" w:rsidP="006B5FCF">
      <w:pPr>
        <w:rPr>
          <w:b/>
          <w:bCs/>
          <w:u w:val="single"/>
        </w:rPr>
      </w:pPr>
    </w:p>
    <w:p w14:paraId="159A60F5" w14:textId="77777777" w:rsidR="006B5FCF" w:rsidRDefault="006B5FCF" w:rsidP="006B5FCF">
      <w:pPr>
        <w:rPr>
          <w:b/>
          <w:bCs/>
          <w:u w:val="single"/>
        </w:rPr>
      </w:pPr>
    </w:p>
    <w:p w14:paraId="1E1CAFB3" w14:textId="77777777" w:rsidR="006B5FCF" w:rsidRDefault="006B5FCF" w:rsidP="002A3C94">
      <w:pPr>
        <w:rPr>
          <w:b/>
          <w:bCs/>
          <w:u w:val="single"/>
        </w:rPr>
      </w:pPr>
    </w:p>
    <w:p w14:paraId="4D8D21AC" w14:textId="77777777" w:rsidR="006B5FCF" w:rsidRDefault="006B5FCF" w:rsidP="002A3C94">
      <w:pPr>
        <w:rPr>
          <w:b/>
          <w:bCs/>
          <w:u w:val="single"/>
        </w:rPr>
      </w:pPr>
    </w:p>
    <w:p w14:paraId="3A51A471" w14:textId="77777777" w:rsidR="006B5FCF" w:rsidRDefault="006B5FCF" w:rsidP="002A3C94">
      <w:pPr>
        <w:rPr>
          <w:b/>
          <w:bCs/>
          <w:u w:val="single"/>
        </w:rPr>
      </w:pPr>
    </w:p>
    <w:p w14:paraId="691E5E89" w14:textId="77777777" w:rsidR="006B5FCF" w:rsidRDefault="006B5FCF" w:rsidP="002A3C94">
      <w:pPr>
        <w:rPr>
          <w:b/>
          <w:bCs/>
          <w:u w:val="single"/>
        </w:rPr>
      </w:pPr>
    </w:p>
    <w:p w14:paraId="4D1DA5A8" w14:textId="77777777" w:rsidR="006B5FCF" w:rsidRDefault="006B5FCF" w:rsidP="002A3C94">
      <w:pPr>
        <w:rPr>
          <w:b/>
          <w:bCs/>
          <w:u w:val="single"/>
        </w:rPr>
      </w:pPr>
    </w:p>
    <w:p w14:paraId="0568E97D" w14:textId="77777777" w:rsidR="006B5FCF" w:rsidRDefault="006B5FCF" w:rsidP="002A3C94">
      <w:pPr>
        <w:rPr>
          <w:b/>
          <w:bCs/>
          <w:u w:val="single"/>
        </w:rPr>
      </w:pPr>
    </w:p>
    <w:p w14:paraId="24D21084" w14:textId="77777777" w:rsidR="006B5FCF" w:rsidRDefault="006B5FCF" w:rsidP="002A3C94">
      <w:pPr>
        <w:rPr>
          <w:b/>
          <w:bCs/>
          <w:u w:val="single"/>
        </w:rPr>
      </w:pPr>
    </w:p>
    <w:p w14:paraId="29D062F5" w14:textId="77777777" w:rsidR="006B5FCF" w:rsidRDefault="006B5FCF" w:rsidP="002A3C94">
      <w:pPr>
        <w:rPr>
          <w:b/>
          <w:bCs/>
          <w:u w:val="single"/>
        </w:rPr>
      </w:pPr>
    </w:p>
    <w:p w14:paraId="3A712406" w14:textId="77777777" w:rsidR="006B5FCF" w:rsidRDefault="006B5FCF" w:rsidP="002A3C94">
      <w:pPr>
        <w:rPr>
          <w:b/>
          <w:bCs/>
          <w:u w:val="single"/>
        </w:rPr>
      </w:pPr>
    </w:p>
    <w:p w14:paraId="217FDDE9" w14:textId="77777777" w:rsidR="006B5FCF" w:rsidRDefault="006B5FCF" w:rsidP="002A3C94">
      <w:pPr>
        <w:rPr>
          <w:b/>
          <w:bCs/>
          <w:u w:val="single"/>
        </w:rPr>
      </w:pPr>
    </w:p>
    <w:p w14:paraId="4171046B" w14:textId="77777777" w:rsidR="006B5FCF" w:rsidRDefault="006B5FCF" w:rsidP="002A3C94">
      <w:pPr>
        <w:rPr>
          <w:b/>
          <w:bCs/>
          <w:u w:val="single"/>
        </w:rPr>
      </w:pPr>
    </w:p>
    <w:p w14:paraId="27C34F5E" w14:textId="77777777" w:rsidR="006B5FCF" w:rsidRDefault="006B5FCF" w:rsidP="002A3C94">
      <w:pPr>
        <w:rPr>
          <w:b/>
          <w:bCs/>
          <w:u w:val="single"/>
        </w:rPr>
      </w:pPr>
    </w:p>
    <w:p w14:paraId="0AC8A277" w14:textId="77777777" w:rsidR="006B5FCF" w:rsidRDefault="006B5FCF" w:rsidP="002A3C94">
      <w:pPr>
        <w:rPr>
          <w:b/>
          <w:bCs/>
          <w:u w:val="single"/>
        </w:rPr>
      </w:pPr>
    </w:p>
    <w:p w14:paraId="4E0D767D" w14:textId="77777777" w:rsidR="006B5FCF" w:rsidRDefault="006B5FCF" w:rsidP="002A3C94">
      <w:pPr>
        <w:rPr>
          <w:b/>
          <w:bCs/>
          <w:u w:val="single"/>
        </w:rPr>
      </w:pPr>
    </w:p>
    <w:p w14:paraId="75876948" w14:textId="77777777" w:rsidR="006B5FCF" w:rsidRDefault="006B5FCF" w:rsidP="002A3C94">
      <w:pPr>
        <w:rPr>
          <w:b/>
          <w:bCs/>
          <w:u w:val="single"/>
        </w:rPr>
      </w:pPr>
    </w:p>
    <w:p w14:paraId="15AA2111" w14:textId="77777777" w:rsidR="006B5FCF" w:rsidRDefault="006B5FCF" w:rsidP="002A3C94">
      <w:pPr>
        <w:rPr>
          <w:b/>
          <w:bCs/>
          <w:u w:val="single"/>
        </w:rPr>
      </w:pPr>
    </w:p>
    <w:p w14:paraId="5C68CCD2" w14:textId="77777777" w:rsidR="00420634" w:rsidRDefault="00420634" w:rsidP="006B5FCF">
      <w:pPr>
        <w:pStyle w:val="ListParagraph"/>
        <w:numPr>
          <w:ilvl w:val="0"/>
          <w:numId w:val="22"/>
        </w:numPr>
        <w:rPr>
          <w:b/>
          <w:bCs/>
          <w:u w:val="single"/>
        </w:rPr>
        <w:sectPr w:rsidR="00420634" w:rsidSect="00CC4BCE">
          <w:footerReference w:type="default" r:id="rId12"/>
          <w:pgSz w:w="11906" w:h="16838"/>
          <w:pgMar w:top="1440" w:right="1440" w:bottom="1440" w:left="1440" w:header="708" w:footer="708" w:gutter="0"/>
          <w:pgNumType w:start="1"/>
          <w:cols w:space="708"/>
          <w:titlePg/>
          <w:docGrid w:linePitch="360"/>
        </w:sectPr>
      </w:pPr>
    </w:p>
    <w:p w14:paraId="25BAF957" w14:textId="1C2F44A2" w:rsidR="0001008D" w:rsidRDefault="0001008D" w:rsidP="006B5FCF">
      <w:pPr>
        <w:pStyle w:val="ListParagraph"/>
        <w:numPr>
          <w:ilvl w:val="0"/>
          <w:numId w:val="22"/>
        </w:numPr>
        <w:rPr>
          <w:b/>
          <w:bCs/>
          <w:u w:val="single"/>
        </w:rPr>
      </w:pPr>
      <w:r w:rsidRPr="006B5FCF">
        <w:rPr>
          <w:b/>
          <w:bCs/>
          <w:u w:val="single"/>
        </w:rPr>
        <w:lastRenderedPageBreak/>
        <w:t>Background</w:t>
      </w:r>
    </w:p>
    <w:p w14:paraId="455E4988" w14:textId="77777777" w:rsidR="006B5FCF" w:rsidRPr="006B5FCF" w:rsidRDefault="006B5FCF" w:rsidP="006B5FCF">
      <w:pPr>
        <w:pStyle w:val="ListParagraph"/>
        <w:rPr>
          <w:b/>
          <w:bCs/>
          <w:u w:val="single"/>
        </w:rPr>
      </w:pPr>
    </w:p>
    <w:p w14:paraId="25BAF958" w14:textId="77777777" w:rsidR="00000466" w:rsidRPr="00772079" w:rsidRDefault="00000466" w:rsidP="00000466">
      <w:pPr>
        <w:spacing w:line="360" w:lineRule="auto"/>
        <w:jc w:val="both"/>
        <w:rPr>
          <w:rFonts w:cstheme="majorBidi"/>
        </w:rPr>
      </w:pPr>
      <w:r w:rsidRPr="00772079">
        <w:rPr>
          <w:rFonts w:cstheme="majorBidi"/>
        </w:rPr>
        <w:t xml:space="preserve">Vaccination is an important public health activity which has resulted in a significant decline in infectious diseases and even the eradication of some infections (World Health Organisation (WHO), 2016).   Globally, the emphasis on vaccination programmes is placed on children under five years of age, as this is where the burden of infection is greatest (UNICEF, 2016). </w:t>
      </w:r>
    </w:p>
    <w:p w14:paraId="25BAF959" w14:textId="037D056D" w:rsidR="00000466" w:rsidRPr="00772079" w:rsidRDefault="00000466" w:rsidP="00AA1329">
      <w:pPr>
        <w:spacing w:line="360" w:lineRule="auto"/>
        <w:jc w:val="both"/>
        <w:rPr>
          <w:rFonts w:cstheme="majorBidi"/>
        </w:rPr>
      </w:pPr>
      <w:r w:rsidRPr="00772079">
        <w:rPr>
          <w:rFonts w:cstheme="majorBidi"/>
        </w:rPr>
        <w:t>The UK has a well-established routine childhood vaccination schedule which commences once the infant reaches eight weeks of age (Salisbury &amp; Ramsay, 201</w:t>
      </w:r>
      <w:r w:rsidR="00AA1329">
        <w:rPr>
          <w:rFonts w:cstheme="majorBidi"/>
        </w:rPr>
        <w:t xml:space="preserve">3a); </w:t>
      </w:r>
      <w:r w:rsidR="000D71F1">
        <w:rPr>
          <w:rFonts w:cstheme="majorBidi"/>
        </w:rPr>
        <w:t>uptake rates of 94</w:t>
      </w:r>
      <w:r w:rsidRPr="00772079">
        <w:rPr>
          <w:rFonts w:cstheme="majorBidi"/>
        </w:rPr>
        <w:t>% for the primary course of immunisations for infants suggest that the schedule is acceptable to the considerable majority of parents and carers (P</w:t>
      </w:r>
      <w:r w:rsidR="000D71F1">
        <w:rPr>
          <w:rFonts w:cstheme="majorBidi"/>
        </w:rPr>
        <w:t>ublic Health England (PHE), 2017</w:t>
      </w:r>
      <w:r w:rsidRPr="00772079">
        <w:rPr>
          <w:rFonts w:cstheme="majorBidi"/>
        </w:rPr>
        <w:t xml:space="preserve">). Guidance cites a small number of contraindications to vaccination (Salisbury &amp; Ramsay, 2013b), indicating that there are very few circumstances under which vaccinations should be deferred or not administered at all, perhaps reflected in the high uptake rates (PHE, 2016). </w:t>
      </w:r>
      <w:r w:rsidR="005E43F2">
        <w:rPr>
          <w:rFonts w:cstheme="majorBidi"/>
        </w:rPr>
        <w:t>Preterm infants are defined as those born before a gestational age of 37 weeks (WHO, 2017), and i</w:t>
      </w:r>
      <w:r w:rsidRPr="00772079">
        <w:rPr>
          <w:rFonts w:cstheme="majorBidi"/>
        </w:rPr>
        <w:t>mmunisation policy from around the world is unanimous in guidance around vaccinating preterm infants; prematurity is not a reason to withhold vaccination, and preterm infants should receive their vaccinations on a par with their full</w:t>
      </w:r>
      <w:r w:rsidR="00CE0992">
        <w:rPr>
          <w:rFonts w:cstheme="majorBidi"/>
        </w:rPr>
        <w:t>-</w:t>
      </w:r>
      <w:r w:rsidRPr="00772079">
        <w:rPr>
          <w:rFonts w:cstheme="majorBidi"/>
        </w:rPr>
        <w:t>term peers, that is</w:t>
      </w:r>
      <w:r w:rsidR="00281E84" w:rsidRPr="00772079">
        <w:rPr>
          <w:rFonts w:cstheme="majorBidi"/>
        </w:rPr>
        <w:t>,</w:t>
      </w:r>
      <w:r w:rsidRPr="00772079">
        <w:rPr>
          <w:rFonts w:cstheme="majorBidi"/>
        </w:rPr>
        <w:t xml:space="preserve"> according to their chronological age without adjusting for prematurity (Salisbury &amp; Ramsay, 2013c; American Academy of Pediatrics, 2015; Australian Government, 2015; Public Health Agency of Canada, 2015).</w:t>
      </w:r>
    </w:p>
    <w:p w14:paraId="25BAF98F" w14:textId="295BF5BF" w:rsidR="007A475A" w:rsidRPr="00C82A17" w:rsidRDefault="00000466" w:rsidP="00C82A17">
      <w:pPr>
        <w:spacing w:line="360" w:lineRule="auto"/>
        <w:jc w:val="both"/>
        <w:rPr>
          <w:rFonts w:cstheme="majorBidi"/>
          <w:iCs/>
        </w:rPr>
      </w:pPr>
      <w:r w:rsidRPr="00772079">
        <w:rPr>
          <w:rFonts w:cstheme="majorBidi"/>
          <w:iCs/>
        </w:rPr>
        <w:t xml:space="preserve">Preterm infants are particularly vulnerable to infection and vaccination policy supports the practice of timely vaccination in this population. In spite of this, some early enquiries found that vaccinations were frequently delayed in this population (Vohr &amp; Oh, 1986; Wariyar et al., 1989). However, these studies were undertaken in circumstances when guidance supporting timely vaccination in preterm infants was just emerging, which suggests that practice at this time was inconsistent. Yet more recent practice experience has substantiated the existence of a delay, as </w:t>
      </w:r>
      <w:r w:rsidR="00B50C8F">
        <w:rPr>
          <w:rFonts w:cstheme="majorBidi"/>
          <w:iCs/>
        </w:rPr>
        <w:t xml:space="preserve">in the primary care setting, </w:t>
      </w:r>
      <w:r w:rsidRPr="00772079">
        <w:rPr>
          <w:rFonts w:cstheme="majorBidi"/>
          <w:iCs/>
        </w:rPr>
        <w:t xml:space="preserve">both parents and health care providers have been witnessed advocating vaccination deferrals for reasons which are not supported by current guidance. This observed existence of a delay prompted further exploration, and </w:t>
      </w:r>
      <w:r w:rsidR="00B27043">
        <w:rPr>
          <w:rFonts w:cstheme="majorBidi"/>
          <w:iCs/>
        </w:rPr>
        <w:t>the findings of a</w:t>
      </w:r>
      <w:r w:rsidR="00744988">
        <w:rPr>
          <w:rFonts w:cstheme="majorBidi"/>
          <w:iCs/>
        </w:rPr>
        <w:t xml:space="preserve"> systematic</w:t>
      </w:r>
      <w:r w:rsidR="00B27043">
        <w:rPr>
          <w:rFonts w:cstheme="majorBidi"/>
          <w:iCs/>
        </w:rPr>
        <w:t xml:space="preserve"> literature review on the topic revealed </w:t>
      </w:r>
      <w:r w:rsidR="00D344CB">
        <w:rPr>
          <w:rFonts w:cstheme="majorBidi"/>
          <w:iCs/>
        </w:rPr>
        <w:t>a</w:t>
      </w:r>
      <w:r w:rsidR="007B1694">
        <w:rPr>
          <w:rFonts w:cstheme="majorBidi"/>
          <w:iCs/>
        </w:rPr>
        <w:t xml:space="preserve">n association between low birthweight, </w:t>
      </w:r>
      <w:r w:rsidR="000067AA">
        <w:rPr>
          <w:rFonts w:cstheme="majorBidi"/>
          <w:iCs/>
        </w:rPr>
        <w:t>low gestational age and a delay in primary vaccinations</w:t>
      </w:r>
      <w:r w:rsidR="00277047">
        <w:rPr>
          <w:rFonts w:cstheme="majorBidi"/>
          <w:iCs/>
        </w:rPr>
        <w:t xml:space="preserve"> </w:t>
      </w:r>
      <w:r w:rsidR="009720DF">
        <w:rPr>
          <w:rFonts w:cstheme="majorBidi"/>
          <w:iCs/>
        </w:rPr>
        <w:t>(</w:t>
      </w:r>
      <w:r w:rsidR="00277047">
        <w:rPr>
          <w:rFonts w:cstheme="majorBidi"/>
          <w:iCs/>
        </w:rPr>
        <w:t>Sisson et al, 2017)</w:t>
      </w:r>
      <w:r w:rsidR="000067AA">
        <w:rPr>
          <w:rFonts w:cstheme="majorBidi"/>
          <w:iCs/>
        </w:rPr>
        <w:t>.</w:t>
      </w:r>
      <w:r w:rsidR="00277047">
        <w:rPr>
          <w:rFonts w:cstheme="majorBidi"/>
          <w:iCs/>
        </w:rPr>
        <w:t xml:space="preserve"> The review also explored parental </w:t>
      </w:r>
      <w:r w:rsidR="00903EB8">
        <w:rPr>
          <w:rFonts w:cstheme="majorBidi"/>
          <w:iCs/>
        </w:rPr>
        <w:t xml:space="preserve">characteristics in </w:t>
      </w:r>
      <w:r w:rsidR="00B843AB">
        <w:rPr>
          <w:rFonts w:cstheme="majorBidi"/>
          <w:iCs/>
        </w:rPr>
        <w:t xml:space="preserve">association with </w:t>
      </w:r>
      <w:r w:rsidR="0011590D">
        <w:rPr>
          <w:rFonts w:cstheme="majorBidi"/>
          <w:iCs/>
        </w:rPr>
        <w:t>vaccination timeliness</w:t>
      </w:r>
      <w:r w:rsidR="00983F3A">
        <w:rPr>
          <w:rFonts w:cstheme="majorBidi"/>
          <w:iCs/>
        </w:rPr>
        <w:t xml:space="preserve">; </w:t>
      </w:r>
      <w:r w:rsidR="00F902CA">
        <w:rPr>
          <w:rFonts w:cstheme="majorBidi"/>
          <w:iCs/>
        </w:rPr>
        <w:t xml:space="preserve">the literature was inconclusive </w:t>
      </w:r>
      <w:r w:rsidR="00B35656">
        <w:rPr>
          <w:rFonts w:cstheme="majorBidi"/>
          <w:iCs/>
        </w:rPr>
        <w:t xml:space="preserve">when examining a delay in vaccination and </w:t>
      </w:r>
      <w:r w:rsidR="00E462B6">
        <w:rPr>
          <w:rFonts w:cstheme="majorBidi"/>
          <w:iCs/>
        </w:rPr>
        <w:t>mothers’ socioeconomic status</w:t>
      </w:r>
      <w:r w:rsidR="00B35656">
        <w:rPr>
          <w:rFonts w:cstheme="majorBidi"/>
          <w:iCs/>
        </w:rPr>
        <w:t xml:space="preserve"> or</w:t>
      </w:r>
      <w:r w:rsidR="00E462B6">
        <w:rPr>
          <w:rFonts w:cstheme="majorBidi"/>
          <w:iCs/>
        </w:rPr>
        <w:t xml:space="preserve"> level of education</w:t>
      </w:r>
      <w:r w:rsidR="00B35656">
        <w:rPr>
          <w:rFonts w:cstheme="majorBidi"/>
          <w:iCs/>
        </w:rPr>
        <w:t xml:space="preserve">. </w:t>
      </w:r>
      <w:r w:rsidR="0006184C">
        <w:rPr>
          <w:rFonts w:cstheme="majorBidi"/>
          <w:iCs/>
        </w:rPr>
        <w:t xml:space="preserve">Only one </w:t>
      </w:r>
      <w:r w:rsidR="00E85981">
        <w:rPr>
          <w:rFonts w:cstheme="majorBidi"/>
          <w:iCs/>
        </w:rPr>
        <w:t xml:space="preserve">US </w:t>
      </w:r>
      <w:r w:rsidR="0006184C">
        <w:rPr>
          <w:rFonts w:cstheme="majorBidi"/>
          <w:iCs/>
        </w:rPr>
        <w:t xml:space="preserve">study examined parental ethnicity, which concluded that </w:t>
      </w:r>
      <w:r w:rsidR="002D2B62">
        <w:rPr>
          <w:rFonts w:cstheme="majorBidi"/>
          <w:iCs/>
        </w:rPr>
        <w:t xml:space="preserve">when compared with </w:t>
      </w:r>
      <w:r w:rsidR="004D6337">
        <w:rPr>
          <w:rFonts w:cstheme="majorBidi"/>
          <w:iCs/>
        </w:rPr>
        <w:t xml:space="preserve">white infants, those from all other ethnicities were significantly more likely to have experienced vaccination delays. </w:t>
      </w:r>
      <w:r w:rsidR="00E74FC2">
        <w:rPr>
          <w:rFonts w:cstheme="majorBidi"/>
          <w:iCs/>
        </w:rPr>
        <w:t xml:space="preserve">Hospitalisation was also a </w:t>
      </w:r>
      <w:r w:rsidR="004831D1">
        <w:rPr>
          <w:rFonts w:cstheme="majorBidi"/>
          <w:iCs/>
        </w:rPr>
        <w:t>factor associated with vaccina</w:t>
      </w:r>
      <w:r w:rsidR="00C55B1B">
        <w:rPr>
          <w:rFonts w:cstheme="majorBidi"/>
          <w:iCs/>
        </w:rPr>
        <w:t>tion</w:t>
      </w:r>
      <w:r w:rsidR="004831D1">
        <w:rPr>
          <w:rFonts w:cstheme="majorBidi"/>
          <w:iCs/>
        </w:rPr>
        <w:t xml:space="preserve"> </w:t>
      </w:r>
      <w:r w:rsidR="004831D1">
        <w:rPr>
          <w:rFonts w:cstheme="majorBidi"/>
          <w:iCs/>
        </w:rPr>
        <w:lastRenderedPageBreak/>
        <w:t xml:space="preserve">timeliness, although the literature was divided on this, with some studies reporting </w:t>
      </w:r>
      <w:r w:rsidR="006B4B7F">
        <w:rPr>
          <w:rFonts w:cstheme="majorBidi"/>
          <w:iCs/>
        </w:rPr>
        <w:t>that hospitalisation was a barrier to timely vaccination</w:t>
      </w:r>
      <w:r w:rsidR="00A654F5">
        <w:rPr>
          <w:rFonts w:cstheme="majorBidi"/>
          <w:iCs/>
        </w:rPr>
        <w:t xml:space="preserve">, and others finding the opposite. </w:t>
      </w:r>
    </w:p>
    <w:p w14:paraId="25BAF991" w14:textId="4C8B52F4" w:rsidR="00730CAA" w:rsidRDefault="0001008D" w:rsidP="006B5FCF">
      <w:pPr>
        <w:pStyle w:val="ListParagraph"/>
        <w:numPr>
          <w:ilvl w:val="0"/>
          <w:numId w:val="22"/>
        </w:numPr>
        <w:rPr>
          <w:b/>
          <w:bCs/>
          <w:u w:val="single"/>
        </w:rPr>
      </w:pPr>
      <w:r w:rsidRPr="006B5FCF">
        <w:rPr>
          <w:b/>
          <w:bCs/>
          <w:u w:val="single"/>
        </w:rPr>
        <w:t>Research aims</w:t>
      </w:r>
      <w:r w:rsidR="007A475A" w:rsidRPr="006B5FCF">
        <w:rPr>
          <w:b/>
          <w:bCs/>
          <w:u w:val="single"/>
        </w:rPr>
        <w:t>/objectives</w:t>
      </w:r>
    </w:p>
    <w:p w14:paraId="63260A19" w14:textId="77777777" w:rsidR="006B5FCF" w:rsidRPr="006B5FCF" w:rsidRDefault="006B5FCF" w:rsidP="006B5FCF">
      <w:pPr>
        <w:pStyle w:val="ListParagraph"/>
        <w:rPr>
          <w:b/>
          <w:bCs/>
          <w:u w:val="single"/>
        </w:rPr>
      </w:pPr>
    </w:p>
    <w:p w14:paraId="25BAF993" w14:textId="473A341D" w:rsidR="00772079" w:rsidRPr="00E2718E" w:rsidRDefault="007260FE" w:rsidP="00E2718E">
      <w:pPr>
        <w:spacing w:line="360" w:lineRule="auto"/>
        <w:jc w:val="both"/>
        <w:rPr>
          <w:rFonts w:cstheme="minorHAnsi"/>
        </w:rPr>
      </w:pPr>
      <w:r w:rsidRPr="00C63922">
        <w:rPr>
          <w:rFonts w:cstheme="minorHAnsi"/>
        </w:rPr>
        <w:t xml:space="preserve">The review </w:t>
      </w:r>
      <w:r w:rsidR="00B65242">
        <w:rPr>
          <w:rFonts w:cstheme="minorHAnsi"/>
        </w:rPr>
        <w:t>took</w:t>
      </w:r>
      <w:r w:rsidR="008A439A">
        <w:rPr>
          <w:rFonts w:cstheme="minorHAnsi"/>
        </w:rPr>
        <w:t xml:space="preserve"> a global perspective and strongly </w:t>
      </w:r>
      <w:r w:rsidRPr="00C63922">
        <w:rPr>
          <w:rFonts w:cstheme="minorHAnsi"/>
        </w:rPr>
        <w:t xml:space="preserve">indicated that vaccinations in preterm infants are delayed. However, the studies </w:t>
      </w:r>
      <w:r w:rsidR="00F83A88">
        <w:rPr>
          <w:rFonts w:cstheme="minorHAnsi"/>
        </w:rPr>
        <w:t xml:space="preserve">reviewed </w:t>
      </w:r>
      <w:r w:rsidRPr="00C63922">
        <w:rPr>
          <w:rFonts w:cstheme="minorHAnsi"/>
        </w:rPr>
        <w:t xml:space="preserve">were either small scale, not contemporaneous or not based on a UK population, therefore, this study is </w:t>
      </w:r>
      <w:r w:rsidR="00DC7FCF">
        <w:rPr>
          <w:rFonts w:cstheme="minorHAnsi"/>
        </w:rPr>
        <w:t xml:space="preserve">designed </w:t>
      </w:r>
      <w:r w:rsidRPr="00C63922">
        <w:rPr>
          <w:rFonts w:cstheme="minorHAnsi"/>
        </w:rPr>
        <w:t xml:space="preserve">to investigate </w:t>
      </w:r>
      <w:r w:rsidR="005F0774">
        <w:rPr>
          <w:rFonts w:cstheme="minorHAnsi"/>
        </w:rPr>
        <w:t>this</w:t>
      </w:r>
      <w:r w:rsidRPr="00C63922">
        <w:rPr>
          <w:rFonts w:cstheme="minorHAnsi"/>
        </w:rPr>
        <w:t xml:space="preserve"> further in a UK, regional</w:t>
      </w:r>
      <w:r w:rsidR="0098379E">
        <w:rPr>
          <w:rFonts w:cstheme="minorHAnsi"/>
        </w:rPr>
        <w:t>ly</w:t>
      </w:r>
      <w:r w:rsidRPr="00C63922">
        <w:rPr>
          <w:rFonts w:cstheme="minorHAnsi"/>
        </w:rPr>
        <w:t xml:space="preserve"> based study. </w:t>
      </w:r>
    </w:p>
    <w:p w14:paraId="25BAF995" w14:textId="18D0403A" w:rsidR="00730CAA" w:rsidRDefault="00730CAA" w:rsidP="00E2718E">
      <w:pPr>
        <w:spacing w:line="360" w:lineRule="auto"/>
      </w:pPr>
      <w:r>
        <w:t>The aims are to investigate vaccination timeliness in preterm infants, and to explore factors associated with this. Specifically, its objectives are to investigate the following:</w:t>
      </w:r>
    </w:p>
    <w:p w14:paraId="25BAF996" w14:textId="27D61EE1" w:rsidR="00730CAA" w:rsidRDefault="00730CAA" w:rsidP="00E2718E">
      <w:pPr>
        <w:pStyle w:val="ListParagraph"/>
        <w:spacing w:line="360" w:lineRule="auto"/>
      </w:pPr>
      <w:r>
        <w:t xml:space="preserve">i. </w:t>
      </w:r>
      <w:r w:rsidR="00BF5FE3">
        <w:t xml:space="preserve"> </w:t>
      </w:r>
      <w:r>
        <w:t xml:space="preserve">Are </w:t>
      </w:r>
      <w:r w:rsidR="00222A55">
        <w:t xml:space="preserve">primary </w:t>
      </w:r>
      <w:r>
        <w:t>vaccinations delayed in preterm infants?</w:t>
      </w:r>
    </w:p>
    <w:p w14:paraId="25BAF997" w14:textId="02F3856B" w:rsidR="00730CAA" w:rsidRDefault="00730CAA" w:rsidP="00E2718E">
      <w:pPr>
        <w:pStyle w:val="ListParagraph"/>
        <w:spacing w:line="360" w:lineRule="auto"/>
      </w:pPr>
      <w:r>
        <w:t xml:space="preserve">ii. Is there a difference in mean </w:t>
      </w:r>
      <w:r w:rsidR="00222A55">
        <w:t xml:space="preserve">primary </w:t>
      </w:r>
      <w:r>
        <w:t>vaccination age between preterm and full</w:t>
      </w:r>
      <w:r w:rsidR="00E2718E">
        <w:t>-</w:t>
      </w:r>
      <w:r>
        <w:t xml:space="preserve">term infants? </w:t>
      </w:r>
    </w:p>
    <w:p w14:paraId="25BAF998" w14:textId="77777777" w:rsidR="00730CAA" w:rsidRDefault="00730CAA" w:rsidP="00E2718E">
      <w:pPr>
        <w:pStyle w:val="ListParagraph"/>
        <w:spacing w:line="360" w:lineRule="auto"/>
      </w:pPr>
      <w:r>
        <w:t>iii. Is there a relationship between gestational age and age at vaccination?</w:t>
      </w:r>
    </w:p>
    <w:p w14:paraId="7B644411" w14:textId="64B514E4" w:rsidR="006B5FCF" w:rsidRDefault="00730CAA" w:rsidP="006B5FCF">
      <w:pPr>
        <w:pStyle w:val="ListParagraph"/>
        <w:spacing w:line="360" w:lineRule="auto"/>
      </w:pPr>
      <w:r>
        <w:t>iv. If a delay exists, what are the factors associated with this?</w:t>
      </w:r>
    </w:p>
    <w:p w14:paraId="509444F3" w14:textId="77777777" w:rsidR="006B5FCF" w:rsidRDefault="006B5FCF" w:rsidP="002174AA">
      <w:pPr>
        <w:pStyle w:val="ListParagraph"/>
        <w:spacing w:line="360" w:lineRule="auto"/>
      </w:pPr>
    </w:p>
    <w:p w14:paraId="25BAF99B" w14:textId="67910100" w:rsidR="0001008D" w:rsidRDefault="0001008D" w:rsidP="006B5FCF">
      <w:pPr>
        <w:pStyle w:val="ListParagraph"/>
        <w:numPr>
          <w:ilvl w:val="0"/>
          <w:numId w:val="22"/>
        </w:numPr>
      </w:pPr>
      <w:r w:rsidRPr="006B5FCF">
        <w:rPr>
          <w:b/>
          <w:bCs/>
          <w:u w:val="single"/>
        </w:rPr>
        <w:t>Study design/methods</w:t>
      </w:r>
      <w:r>
        <w:t xml:space="preserve"> </w:t>
      </w:r>
    </w:p>
    <w:p w14:paraId="11EF48E5" w14:textId="77777777" w:rsidR="006B5FCF" w:rsidRDefault="006B5FCF" w:rsidP="006B5FCF">
      <w:pPr>
        <w:pStyle w:val="ListParagraph"/>
      </w:pPr>
    </w:p>
    <w:p w14:paraId="71D78167" w14:textId="46DDB0F1" w:rsidR="002A6AFF" w:rsidRDefault="002A6AFF" w:rsidP="00AA1329">
      <w:pPr>
        <w:spacing w:line="360" w:lineRule="auto"/>
        <w:jc w:val="both"/>
      </w:pPr>
      <w:r>
        <w:t xml:space="preserve">The study </w:t>
      </w:r>
      <w:r w:rsidR="00AA1329">
        <w:t>takes</w:t>
      </w:r>
      <w:r>
        <w:t xml:space="preserve"> a regionally based approach, using the North Yorkshire an</w:t>
      </w:r>
      <w:r w:rsidR="0098379E">
        <w:t xml:space="preserve">d Humber area, analysing </w:t>
      </w:r>
      <w:r>
        <w:t xml:space="preserve">primary vaccination data relating to preterm infants in the area over a six-month period between 1st January 2018 and 30th June 2018. </w:t>
      </w:r>
      <w:r>
        <w:rPr>
          <w:rFonts w:cstheme="minorHAnsi"/>
          <w:color w:val="000000" w:themeColor="text1"/>
          <w:szCs w:val="24"/>
        </w:rPr>
        <w:t xml:space="preserve">The primary vaccinations are the first vaccines offered to all infants at 8, 12 and 16 weeks of age. These vaccinations have been chosen to study because </w:t>
      </w:r>
      <w:r w:rsidRPr="00B65242">
        <w:rPr>
          <w:rFonts w:cstheme="minorHAnsi"/>
          <w:color w:val="000000" w:themeColor="text1"/>
          <w:szCs w:val="24"/>
        </w:rPr>
        <w:t xml:space="preserve">preterm infants are particularly vulnerable to infection </w:t>
      </w:r>
      <w:r>
        <w:rPr>
          <w:rFonts w:cstheme="minorHAnsi"/>
          <w:color w:val="000000" w:themeColor="text1"/>
          <w:szCs w:val="24"/>
        </w:rPr>
        <w:t>making</w:t>
      </w:r>
      <w:r w:rsidRPr="00B65242">
        <w:rPr>
          <w:rFonts w:cstheme="minorHAnsi"/>
          <w:color w:val="000000" w:themeColor="text1"/>
          <w:szCs w:val="24"/>
        </w:rPr>
        <w:t xml:space="preserve"> the earliest month</w:t>
      </w:r>
      <w:r>
        <w:rPr>
          <w:rFonts w:cstheme="minorHAnsi"/>
          <w:color w:val="000000" w:themeColor="text1"/>
          <w:szCs w:val="24"/>
        </w:rPr>
        <w:t>s of their life</w:t>
      </w:r>
      <w:r w:rsidRPr="00B65242">
        <w:rPr>
          <w:rFonts w:cstheme="minorHAnsi"/>
          <w:color w:val="000000" w:themeColor="text1"/>
          <w:szCs w:val="24"/>
        </w:rPr>
        <w:t xml:space="preserve"> a time when the immunological suppo</w:t>
      </w:r>
      <w:r>
        <w:rPr>
          <w:rFonts w:cstheme="minorHAnsi"/>
          <w:color w:val="000000" w:themeColor="text1"/>
          <w:szCs w:val="24"/>
        </w:rPr>
        <w:t>rt which vaccination provides</w:t>
      </w:r>
      <w:r w:rsidRPr="00B65242">
        <w:rPr>
          <w:rFonts w:cstheme="minorHAnsi"/>
          <w:color w:val="000000" w:themeColor="text1"/>
          <w:szCs w:val="24"/>
        </w:rPr>
        <w:t xml:space="preserve"> especially vital. </w:t>
      </w:r>
      <w:r>
        <w:t xml:space="preserve">It is estimated that the identified six-month time frame would produce data relating to </w:t>
      </w:r>
      <w:r w:rsidR="002174AA">
        <w:t>400-500</w:t>
      </w:r>
      <w:r>
        <w:t xml:space="preserve"> preterm infants who would be matched to full term controls also from the region, also due vaccination in the same time period (approximately </w:t>
      </w:r>
      <w:r w:rsidR="002174AA">
        <w:t>6,000</w:t>
      </w:r>
      <w:r>
        <w:t xml:space="preserve"> infants</w:t>
      </w:r>
      <w:r w:rsidR="007B5425">
        <w:t xml:space="preserve"> in total</w:t>
      </w:r>
      <w:r w:rsidRPr="00701C4D">
        <w:t>). The region hosts five units</w:t>
      </w:r>
      <w:r>
        <w:t xml:space="preserve"> providing advanced care for preterm neonates</w:t>
      </w:r>
      <w:r w:rsidR="00701C4D">
        <w:t>: Hull Royal Infirmary, York Hospital, Scarborough Hospital, Scunthorpe General Hospital and Diana, Princess of Wales Hospital, Grimsby.</w:t>
      </w:r>
    </w:p>
    <w:p w14:paraId="55F10883" w14:textId="4F1509A6" w:rsidR="006A3C9A" w:rsidRDefault="002A6AFF" w:rsidP="002A6AFF">
      <w:pPr>
        <w:spacing w:line="360" w:lineRule="auto"/>
        <w:jc w:val="both"/>
      </w:pPr>
      <w:r>
        <w:t>The study use</w:t>
      </w:r>
      <w:r w:rsidR="0098379E">
        <w:t>s</w:t>
      </w:r>
      <w:r>
        <w:t xml:space="preserve"> secondary data sources; the Maternity Services Data set (MSDS), Child Health Information Service or, CHIS (which holds comprehensive immunisation details for all infants), and the National Neonatal Research Database (NNRD). The databases would be linked via infants’ individual NHS numbers, with this being the only common identifier between the datasets; using such patient </w:t>
      </w:r>
      <w:r>
        <w:lastRenderedPageBreak/>
        <w:t>identifiable information requ</w:t>
      </w:r>
      <w:r w:rsidR="0098379E">
        <w:t>ires CAG approval which is being</w:t>
      </w:r>
      <w:r>
        <w:t xml:space="preserve"> </w:t>
      </w:r>
      <w:r w:rsidRPr="00E9383B">
        <w:t>sought (see Ethics</w:t>
      </w:r>
      <w:r w:rsidR="00E9383B" w:rsidRPr="00E9383B">
        <w:t xml:space="preserve"> and approvals</w:t>
      </w:r>
      <w:r w:rsidRPr="00E9383B">
        <w:t xml:space="preserve">, </w:t>
      </w:r>
      <w:r w:rsidR="00E9383B" w:rsidRPr="00E9383B">
        <w:t>section 4</w:t>
      </w:r>
      <w:r w:rsidRPr="00E9383B">
        <w:t>). There</w:t>
      </w:r>
      <w:r>
        <w:t xml:space="preserve"> are four CHIS departments in the region, and approval from the hosting organisations would also be obtained. </w:t>
      </w:r>
    </w:p>
    <w:p w14:paraId="37FDAA8D" w14:textId="22795F7A" w:rsidR="006A3C9A" w:rsidRPr="006A3C9A" w:rsidRDefault="0056609D" w:rsidP="006A3C9A">
      <w:pPr>
        <w:spacing w:line="360" w:lineRule="auto"/>
        <w:jc w:val="both"/>
        <w:rPr>
          <w:b/>
          <w:i/>
          <w:iCs/>
        </w:rPr>
      </w:pPr>
      <w:r>
        <w:rPr>
          <w:b/>
          <w:i/>
          <w:iCs/>
        </w:rPr>
        <w:t xml:space="preserve">3.1 </w:t>
      </w:r>
      <w:r w:rsidR="006A3C9A" w:rsidRPr="006A3C9A">
        <w:rPr>
          <w:b/>
          <w:i/>
          <w:iCs/>
        </w:rPr>
        <w:t>Defining the region</w:t>
      </w:r>
    </w:p>
    <w:p w14:paraId="1984C049" w14:textId="5B071D13" w:rsidR="006A3C9A" w:rsidRDefault="006A3C9A" w:rsidP="006A3C9A">
      <w:pPr>
        <w:spacing w:line="360" w:lineRule="auto"/>
        <w:jc w:val="both"/>
      </w:pPr>
      <w:r>
        <w:t>The region being studied is defined by the Local Maternity System (LMS). The recommendations from the publication Better Births (NHS England, 2016), work in tandem with sustainability and transformation plan (STP) processes (NHS, 2014) to provide maternity services. There are 44 STP</w:t>
      </w:r>
      <w:r w:rsidR="001F61F9">
        <w:t xml:space="preserve"> areas</w:t>
      </w:r>
      <w:r>
        <w:t xml:space="preserve"> in England, and for this study, the Humber, Coast and V</w:t>
      </w:r>
      <w:r w:rsidR="001F61F9">
        <w:t>ale</w:t>
      </w:r>
      <w:r>
        <w:t xml:space="preserve"> </w:t>
      </w:r>
      <w:r w:rsidR="001F61F9">
        <w:t xml:space="preserve">LMS </w:t>
      </w:r>
      <w:r>
        <w:t xml:space="preserve">is relevant. </w:t>
      </w:r>
    </w:p>
    <w:p w14:paraId="292675B3" w14:textId="2654E064" w:rsidR="006A3C9A" w:rsidRDefault="006A3C9A" w:rsidP="002A6AFF">
      <w:pPr>
        <w:spacing w:line="360" w:lineRule="auto"/>
        <w:jc w:val="both"/>
      </w:pPr>
      <w:r>
        <w:t xml:space="preserve">The Humber Coast and Vale (Figure 1) hosts a population of 1.4 million and six clinical commissioning groups (CCGs). </w:t>
      </w:r>
    </w:p>
    <w:p w14:paraId="436597BC" w14:textId="5A9BA3BB" w:rsidR="006A3C9A" w:rsidRPr="00C65E9E" w:rsidRDefault="006A3C9A" w:rsidP="006A3C9A">
      <w:pPr>
        <w:rPr>
          <w:b/>
        </w:rPr>
      </w:pPr>
      <w:r w:rsidRPr="00C65E9E">
        <w:rPr>
          <w:b/>
        </w:rPr>
        <w:t>Figure 1 – Humber Coast and Vale STP</w:t>
      </w:r>
      <w:r w:rsidR="001F61F9">
        <w:rPr>
          <w:b/>
        </w:rPr>
        <w:t xml:space="preserve"> area</w:t>
      </w:r>
    </w:p>
    <w:p w14:paraId="2B7AE5A2" w14:textId="77777777" w:rsidR="006A3C9A" w:rsidRDefault="006A3C9A" w:rsidP="006A3C9A">
      <w:r>
        <w:rPr>
          <w:noProof/>
        </w:rPr>
        <w:t xml:space="preserve"> </w:t>
      </w:r>
      <w:r w:rsidRPr="00C65E9E">
        <w:rPr>
          <w:noProof/>
          <w:lang w:eastAsia="en-GB"/>
        </w:rPr>
        <w:drawing>
          <wp:inline distT="0" distB="0" distL="0" distR="0" wp14:anchorId="7B5311DB" wp14:editId="3CE0FAF1">
            <wp:extent cx="5162550" cy="45619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72659" cy="4570920"/>
                    </a:xfrm>
                    <a:prstGeom prst="rect">
                      <a:avLst/>
                    </a:prstGeom>
                  </pic:spPr>
                </pic:pic>
              </a:graphicData>
            </a:graphic>
          </wp:inline>
        </w:drawing>
      </w:r>
    </w:p>
    <w:p w14:paraId="24C845A1" w14:textId="77777777" w:rsidR="006A3C9A" w:rsidRDefault="006A3C9A" w:rsidP="006A3C9A"/>
    <w:p w14:paraId="3223F9CC" w14:textId="6B2926AC" w:rsidR="006A3C9A" w:rsidRDefault="006A3C9A" w:rsidP="006A3C9A">
      <w:pPr>
        <w:spacing w:line="360" w:lineRule="auto"/>
        <w:jc w:val="both"/>
      </w:pPr>
      <w:r>
        <w:t xml:space="preserve">Within this </w:t>
      </w:r>
      <w:r w:rsidR="001F61F9">
        <w:t>area</w:t>
      </w:r>
      <w:r>
        <w:t>, there are three acute hospital trusts:</w:t>
      </w:r>
    </w:p>
    <w:p w14:paraId="2932C574" w14:textId="77777777" w:rsidR="006A3C9A" w:rsidRDefault="006A3C9A" w:rsidP="006A3C9A">
      <w:pPr>
        <w:pStyle w:val="ListParagraph"/>
        <w:numPr>
          <w:ilvl w:val="0"/>
          <w:numId w:val="19"/>
        </w:numPr>
        <w:spacing w:line="360" w:lineRule="auto"/>
        <w:jc w:val="both"/>
      </w:pPr>
      <w:r>
        <w:t>Northern Lincolnshire and Goole (NLAG) NHS Foundation Trust</w:t>
      </w:r>
    </w:p>
    <w:p w14:paraId="1BCDAB6A" w14:textId="77777777" w:rsidR="006A3C9A" w:rsidRDefault="006A3C9A" w:rsidP="006A3C9A">
      <w:pPr>
        <w:pStyle w:val="ListParagraph"/>
        <w:numPr>
          <w:ilvl w:val="0"/>
          <w:numId w:val="19"/>
        </w:numPr>
        <w:spacing w:line="360" w:lineRule="auto"/>
        <w:jc w:val="both"/>
      </w:pPr>
      <w:r>
        <w:lastRenderedPageBreak/>
        <w:t>York Teaching Hospital NHS Foundation Trust</w:t>
      </w:r>
    </w:p>
    <w:p w14:paraId="3C35C4CB" w14:textId="6A6BB0A3" w:rsidR="006A3C9A" w:rsidRDefault="006A3C9A" w:rsidP="006A3C9A">
      <w:pPr>
        <w:pStyle w:val="ListParagraph"/>
        <w:numPr>
          <w:ilvl w:val="0"/>
          <w:numId w:val="19"/>
        </w:numPr>
        <w:spacing w:line="360" w:lineRule="auto"/>
        <w:jc w:val="both"/>
      </w:pPr>
      <w:r>
        <w:t xml:space="preserve">Hull </w:t>
      </w:r>
      <w:r w:rsidR="00224706">
        <w:t>University Teaching Hospitals (HUTH)</w:t>
      </w:r>
      <w:r>
        <w:t xml:space="preserve"> NHS Trust</w:t>
      </w:r>
      <w:r w:rsidR="0098379E">
        <w:t xml:space="preserve"> (Lead site)</w:t>
      </w:r>
    </w:p>
    <w:p w14:paraId="082F6BBA" w14:textId="1B7474DA" w:rsidR="0098379E" w:rsidRPr="0098379E" w:rsidRDefault="0098379E" w:rsidP="0056609D">
      <w:pPr>
        <w:spacing w:line="360" w:lineRule="auto"/>
        <w:jc w:val="both"/>
        <w:rPr>
          <w:b/>
          <w:i/>
        </w:rPr>
      </w:pPr>
      <w:r w:rsidRPr="0098379E">
        <w:rPr>
          <w:b/>
          <w:i/>
        </w:rPr>
        <w:t xml:space="preserve">3.2 – Data </w:t>
      </w:r>
      <w:r w:rsidR="00950580">
        <w:rPr>
          <w:b/>
          <w:i/>
        </w:rPr>
        <w:t>transfer</w:t>
      </w:r>
    </w:p>
    <w:p w14:paraId="75CB7DEE" w14:textId="19943780" w:rsidR="006A3C9A" w:rsidRDefault="006A3C9A" w:rsidP="0056609D">
      <w:pPr>
        <w:spacing w:line="360" w:lineRule="auto"/>
        <w:jc w:val="both"/>
      </w:pPr>
      <w:r>
        <w:t xml:space="preserve">Each </w:t>
      </w:r>
      <w:r w:rsidR="00366C95">
        <w:t xml:space="preserve">of the three </w:t>
      </w:r>
      <w:r>
        <w:t>trust</w:t>
      </w:r>
      <w:r w:rsidR="00366C95">
        <w:t>s</w:t>
      </w:r>
      <w:r>
        <w:t xml:space="preserve"> </w:t>
      </w:r>
      <w:r w:rsidR="0098379E">
        <w:t xml:space="preserve">identified in section 3.1 </w:t>
      </w:r>
      <w:r>
        <w:t>hosts a database which records all births</w:t>
      </w:r>
      <w:r w:rsidR="009B7DE8">
        <w:t xml:space="preserve"> within that trust</w:t>
      </w:r>
      <w:r>
        <w:t>, referred to as the Mater</w:t>
      </w:r>
      <w:r w:rsidR="009B7DE8">
        <w:t>nity Services Data Set (MSDS); t</w:t>
      </w:r>
      <w:r w:rsidR="009B7DE8" w:rsidRPr="009B7DE8">
        <w:t>he</w:t>
      </w:r>
      <w:r w:rsidR="009B7DE8">
        <w:t xml:space="preserve"> MSDS dataset will identify all infants eligible for inclusion in the analysis. Therefore, </w:t>
      </w:r>
      <w:r w:rsidR="0098379E">
        <w:t>MSDS d</w:t>
      </w:r>
      <w:r>
        <w:t xml:space="preserve">ata </w:t>
      </w:r>
      <w:r w:rsidR="0098379E">
        <w:t xml:space="preserve">for infants within a defined six month time frame </w:t>
      </w:r>
      <w:r>
        <w:t>will be requested from each of the</w:t>
      </w:r>
      <w:r w:rsidR="0098379E">
        <w:t>se</w:t>
      </w:r>
      <w:r>
        <w:t xml:space="preserve"> organisations</w:t>
      </w:r>
      <w:r w:rsidR="0098379E">
        <w:t xml:space="preserve"> </w:t>
      </w:r>
      <w:r w:rsidR="007B5425" w:rsidRPr="009B7DE8">
        <w:t>and held by Information Services at</w:t>
      </w:r>
      <w:r w:rsidR="00224706">
        <w:t xml:space="preserve"> the lead site (HUTH</w:t>
      </w:r>
      <w:r w:rsidR="00AA1329" w:rsidRPr="009B7DE8">
        <w:t xml:space="preserve"> NHS Trust</w:t>
      </w:r>
      <w:r w:rsidRPr="009B7DE8">
        <w:t xml:space="preserve">). </w:t>
      </w:r>
      <w:r w:rsidR="009B7DE8">
        <w:t>An overview of the data to be collected from the MSDS is in section 3.3.</w:t>
      </w:r>
    </w:p>
    <w:p w14:paraId="1AAAF9AA" w14:textId="04A3B059" w:rsidR="006A3C9A" w:rsidRDefault="006A3C9A" w:rsidP="006A3C9A">
      <w:pPr>
        <w:spacing w:line="360" w:lineRule="auto"/>
        <w:jc w:val="both"/>
      </w:pPr>
      <w:r>
        <w:t xml:space="preserve">Using the NHS number (from data already obtained from MSDS), </w:t>
      </w:r>
      <w:r w:rsidR="009B7DE8">
        <w:t xml:space="preserve">additional </w:t>
      </w:r>
      <w:r>
        <w:t>data for infants born &lt;35 weeks will be requested from the National Neo</w:t>
      </w:r>
      <w:r w:rsidR="009B7DE8">
        <w:t xml:space="preserve">natal Research Database (NNRD). This will yield information regarding </w:t>
      </w:r>
      <w:r>
        <w:t>the infants’ hea</w:t>
      </w:r>
      <w:r w:rsidR="009B7DE8">
        <w:t>lth status and some demographic detail</w:t>
      </w:r>
      <w:r>
        <w:t xml:space="preserve"> </w:t>
      </w:r>
      <w:r w:rsidR="009B7DE8">
        <w:t>(see section 3.3 for details)</w:t>
      </w:r>
      <w:r>
        <w:t xml:space="preserve">. </w:t>
      </w:r>
    </w:p>
    <w:p w14:paraId="2C38BF4F" w14:textId="1F5F66D4" w:rsidR="006A3C9A" w:rsidRDefault="006A3C9A" w:rsidP="006A3C9A">
      <w:pPr>
        <w:spacing w:line="360" w:lineRule="auto"/>
        <w:jc w:val="both"/>
      </w:pPr>
      <w:r>
        <w:t xml:space="preserve">Finally, and again using the NHS number, immunisation data will be requested from the Child Health Information Systems (CHIS). The data requested from CHIS will be for the defined six-month period </w:t>
      </w:r>
      <w:r w:rsidR="009B7DE8">
        <w:t>using the NHS numbers from the MSDS data already identified.</w:t>
      </w:r>
    </w:p>
    <w:p w14:paraId="7924D571" w14:textId="07A1CAAD" w:rsidR="006A3C9A" w:rsidRDefault="006A3C9A" w:rsidP="002A6AFF">
      <w:pPr>
        <w:spacing w:line="360" w:lineRule="auto"/>
        <w:jc w:val="both"/>
      </w:pPr>
      <w:r>
        <w:t>At this st</w:t>
      </w:r>
      <w:r w:rsidR="00224706">
        <w:t>age, Information Services at HUTH</w:t>
      </w:r>
      <w:r w:rsidR="00366C95">
        <w:t xml:space="preserve"> NHS Trust will have MSDS</w:t>
      </w:r>
      <w:r>
        <w:t xml:space="preserve"> data for all infants and some additional data </w:t>
      </w:r>
      <w:r w:rsidR="00366C95">
        <w:t>from the NNRD for those born &lt;35</w:t>
      </w:r>
      <w:r>
        <w:t xml:space="preserve"> weeks. </w:t>
      </w:r>
      <w:r w:rsidR="002A6AFF">
        <w:t>Using NHS numbers, these will then be matched</w:t>
      </w:r>
      <w:r>
        <w:t xml:space="preserve"> with the immunisation data received from the CHIS; the data set will then be anonymised and sent to </w:t>
      </w:r>
      <w:r w:rsidR="002A6AFF">
        <w:t xml:space="preserve">the Chief Investigator </w:t>
      </w:r>
      <w:r>
        <w:t xml:space="preserve">for analysis. Based on ONS data (ONS, 2017) the sample size should be around 6,000 infants in total, a proportion of which will be classed as preterm (born before 37 weeks) and based on a preterm birth rate of 7.3% (NICE, 2015) this number is expected to be in the region of 420. </w:t>
      </w:r>
    </w:p>
    <w:p w14:paraId="5A4E029B" w14:textId="79B0FAA6" w:rsidR="00950580" w:rsidRDefault="00950580" w:rsidP="002A6AFF">
      <w:pPr>
        <w:spacing w:line="360" w:lineRule="auto"/>
        <w:jc w:val="both"/>
      </w:pPr>
      <w:r>
        <w:t>An overview of the data transfer process is illustrated in Figure 1 on page 6.</w:t>
      </w:r>
    </w:p>
    <w:p w14:paraId="1F5FDFF4" w14:textId="35C90256" w:rsidR="00171D10" w:rsidRPr="006B5FCF" w:rsidRDefault="0098379E" w:rsidP="00171D10">
      <w:pPr>
        <w:spacing w:line="360" w:lineRule="auto"/>
        <w:rPr>
          <w:b/>
          <w:i/>
          <w:iCs/>
        </w:rPr>
      </w:pPr>
      <w:r>
        <w:rPr>
          <w:b/>
          <w:i/>
          <w:iCs/>
        </w:rPr>
        <w:t>3.3</w:t>
      </w:r>
      <w:r w:rsidR="0056609D">
        <w:rPr>
          <w:b/>
          <w:i/>
          <w:iCs/>
        </w:rPr>
        <w:t xml:space="preserve"> </w:t>
      </w:r>
      <w:r w:rsidR="00171D10" w:rsidRPr="006B5FCF">
        <w:rPr>
          <w:b/>
          <w:i/>
          <w:iCs/>
        </w:rPr>
        <w:t>Data to be collected</w:t>
      </w:r>
    </w:p>
    <w:p w14:paraId="3C1F5295" w14:textId="77777777" w:rsidR="00171D10" w:rsidRDefault="00171D10" w:rsidP="00171D10">
      <w:pPr>
        <w:pStyle w:val="ListParagraph"/>
        <w:numPr>
          <w:ilvl w:val="0"/>
          <w:numId w:val="20"/>
        </w:numPr>
        <w:spacing w:line="360" w:lineRule="auto"/>
      </w:pPr>
      <w:r>
        <w:t>Database(s) 1 – MSDS</w:t>
      </w:r>
    </w:p>
    <w:p w14:paraId="18AFE7C9" w14:textId="323C85E0" w:rsidR="00171D10" w:rsidRDefault="00171D10" w:rsidP="00171D10">
      <w:pPr>
        <w:spacing w:line="360" w:lineRule="auto"/>
      </w:pPr>
      <w:r>
        <w:t xml:space="preserve">The MSDS across the </w:t>
      </w:r>
      <w:r w:rsidR="00366C95">
        <w:t xml:space="preserve">three </w:t>
      </w:r>
      <w:r>
        <w:t xml:space="preserve">organisations </w:t>
      </w:r>
      <w:r w:rsidR="00DD4B08">
        <w:t>record</w:t>
      </w:r>
      <w:r>
        <w:t xml:space="preserve"> data relating to all births </w:t>
      </w:r>
      <w:r w:rsidR="00366C95">
        <w:t>and the following</w:t>
      </w:r>
      <w:r w:rsidR="00DD4B08">
        <w:t xml:space="preserve"> mutually collected</w:t>
      </w:r>
      <w:r w:rsidR="00366C95">
        <w:t xml:space="preserve"> </w:t>
      </w:r>
      <w:r w:rsidR="00DD4B08">
        <w:t xml:space="preserve">data </w:t>
      </w:r>
      <w:r w:rsidR="00366C95">
        <w:t>will be requested:</w:t>
      </w:r>
    </w:p>
    <w:tbl>
      <w:tblPr>
        <w:tblStyle w:val="TableGrid"/>
        <w:tblW w:w="0" w:type="auto"/>
        <w:tblLook w:val="04A0" w:firstRow="1" w:lastRow="0" w:firstColumn="1" w:lastColumn="0" w:noHBand="0" w:noVBand="1"/>
      </w:tblPr>
      <w:tblGrid>
        <w:gridCol w:w="4508"/>
        <w:gridCol w:w="4508"/>
      </w:tblGrid>
      <w:tr w:rsidR="00171D10" w14:paraId="0CAB255D" w14:textId="77777777" w:rsidTr="005E77A3">
        <w:tc>
          <w:tcPr>
            <w:tcW w:w="4508" w:type="dxa"/>
          </w:tcPr>
          <w:p w14:paraId="2F5BD2B4" w14:textId="77777777" w:rsidR="00171D10" w:rsidRDefault="00171D10" w:rsidP="005E77A3">
            <w:pPr>
              <w:spacing w:line="360" w:lineRule="auto"/>
            </w:pPr>
            <w:r>
              <w:t>Infant details</w:t>
            </w:r>
          </w:p>
        </w:tc>
        <w:tc>
          <w:tcPr>
            <w:tcW w:w="4508" w:type="dxa"/>
          </w:tcPr>
          <w:p w14:paraId="70AEFE35" w14:textId="77777777" w:rsidR="00171D10" w:rsidRDefault="00171D10" w:rsidP="005E77A3">
            <w:pPr>
              <w:spacing w:line="360" w:lineRule="auto"/>
            </w:pPr>
            <w:r>
              <w:t>NHS number</w:t>
            </w:r>
          </w:p>
          <w:p w14:paraId="045B27A6" w14:textId="77777777" w:rsidR="00171D10" w:rsidRDefault="00171D10" w:rsidP="005E77A3">
            <w:pPr>
              <w:spacing w:line="360" w:lineRule="auto"/>
            </w:pPr>
            <w:r>
              <w:t>Date of birth</w:t>
            </w:r>
          </w:p>
          <w:p w14:paraId="380CD077" w14:textId="77777777" w:rsidR="00171D10" w:rsidRDefault="00171D10" w:rsidP="005E77A3">
            <w:pPr>
              <w:spacing w:line="360" w:lineRule="auto"/>
            </w:pPr>
            <w:r>
              <w:t>Gender</w:t>
            </w:r>
          </w:p>
          <w:p w14:paraId="5EA631CE" w14:textId="77777777" w:rsidR="00171D10" w:rsidRDefault="00171D10" w:rsidP="005E77A3">
            <w:pPr>
              <w:spacing w:line="360" w:lineRule="auto"/>
            </w:pPr>
            <w:r>
              <w:lastRenderedPageBreak/>
              <w:t>Birth weight</w:t>
            </w:r>
          </w:p>
          <w:p w14:paraId="28D19E1A" w14:textId="77777777" w:rsidR="00171D10" w:rsidRDefault="00171D10" w:rsidP="005E77A3">
            <w:pPr>
              <w:spacing w:line="360" w:lineRule="auto"/>
            </w:pPr>
            <w:r>
              <w:t>Gestational age</w:t>
            </w:r>
          </w:p>
        </w:tc>
      </w:tr>
      <w:tr w:rsidR="00171D10" w14:paraId="7033587E" w14:textId="77777777" w:rsidTr="005E77A3">
        <w:tc>
          <w:tcPr>
            <w:tcW w:w="4508" w:type="dxa"/>
          </w:tcPr>
          <w:p w14:paraId="1CC51311" w14:textId="77777777" w:rsidR="00171D10" w:rsidRDefault="00171D10" w:rsidP="005E77A3">
            <w:pPr>
              <w:spacing w:line="360" w:lineRule="auto"/>
            </w:pPr>
            <w:r>
              <w:lastRenderedPageBreak/>
              <w:t>Parental details</w:t>
            </w:r>
          </w:p>
        </w:tc>
        <w:tc>
          <w:tcPr>
            <w:tcW w:w="4508" w:type="dxa"/>
          </w:tcPr>
          <w:p w14:paraId="4F792215" w14:textId="77777777" w:rsidR="00171D10" w:rsidRDefault="00171D10" w:rsidP="005E77A3">
            <w:pPr>
              <w:spacing w:line="360" w:lineRule="auto"/>
            </w:pPr>
            <w:r>
              <w:t>Mothers’ date of birth</w:t>
            </w:r>
          </w:p>
          <w:p w14:paraId="751D4E3A" w14:textId="77777777" w:rsidR="00171D10" w:rsidRDefault="00171D10" w:rsidP="005E77A3">
            <w:pPr>
              <w:spacing w:line="360" w:lineRule="auto"/>
            </w:pPr>
            <w:r>
              <w:t>Number of previous pregnancies/births</w:t>
            </w:r>
          </w:p>
          <w:p w14:paraId="004EF5AB" w14:textId="77777777" w:rsidR="00171D10" w:rsidRDefault="00171D10" w:rsidP="005E77A3">
            <w:pPr>
              <w:spacing w:line="360" w:lineRule="auto"/>
            </w:pPr>
            <w:r>
              <w:t>Ethnicity</w:t>
            </w:r>
          </w:p>
        </w:tc>
      </w:tr>
    </w:tbl>
    <w:p w14:paraId="7CD6BC87" w14:textId="77777777" w:rsidR="00171D10" w:rsidRDefault="00171D10" w:rsidP="00171D10">
      <w:pPr>
        <w:spacing w:line="360" w:lineRule="auto"/>
      </w:pPr>
    </w:p>
    <w:p w14:paraId="550B7EB4" w14:textId="489F3BC0" w:rsidR="00171D10" w:rsidRDefault="00171D10" w:rsidP="00171D10">
      <w:pPr>
        <w:spacing w:line="360" w:lineRule="auto"/>
        <w:jc w:val="both"/>
      </w:pPr>
      <w:r>
        <w:t xml:space="preserve">The MSDS do not </w:t>
      </w:r>
      <w:r w:rsidR="00AA1329">
        <w:t xml:space="preserve">consistently </w:t>
      </w:r>
      <w:r>
        <w:t xml:space="preserve">record infants’ ethnicity, or mothers’ occupations. It also does not </w:t>
      </w:r>
      <w:r w:rsidR="00366C95">
        <w:t xml:space="preserve">routinely </w:t>
      </w:r>
      <w:r>
        <w:t>record any paternal data. Next, using the NHS numbers, additional information for infants identified from the MSDS with a</w:t>
      </w:r>
      <w:r w:rsidR="00366C95">
        <w:t xml:space="preserve"> gestational age of less than 35</w:t>
      </w:r>
      <w:r>
        <w:t xml:space="preserve"> weeks will be sought from the NNRD.</w:t>
      </w:r>
    </w:p>
    <w:p w14:paraId="35089C61" w14:textId="77777777" w:rsidR="00171D10" w:rsidRDefault="00171D10" w:rsidP="00171D10">
      <w:pPr>
        <w:pStyle w:val="ListParagraph"/>
        <w:numPr>
          <w:ilvl w:val="0"/>
          <w:numId w:val="20"/>
        </w:numPr>
        <w:spacing w:line="360" w:lineRule="auto"/>
      </w:pPr>
      <w:r>
        <w:t>Database 2 – NNRD</w:t>
      </w:r>
    </w:p>
    <w:p w14:paraId="2663F8AD" w14:textId="69A1C2E9" w:rsidR="00171D10" w:rsidRDefault="00171D10" w:rsidP="00171D10">
      <w:pPr>
        <w:spacing w:line="360" w:lineRule="auto"/>
      </w:pPr>
      <w:r>
        <w:t xml:space="preserve">The following data will be requested from the </w:t>
      </w:r>
      <w:r w:rsidR="00701C4D">
        <w:t>NNRD:</w:t>
      </w:r>
    </w:p>
    <w:tbl>
      <w:tblPr>
        <w:tblStyle w:val="TableGrid"/>
        <w:tblW w:w="0" w:type="auto"/>
        <w:tblLook w:val="04A0" w:firstRow="1" w:lastRow="0" w:firstColumn="1" w:lastColumn="0" w:noHBand="0" w:noVBand="1"/>
      </w:tblPr>
      <w:tblGrid>
        <w:gridCol w:w="4508"/>
        <w:gridCol w:w="4508"/>
      </w:tblGrid>
      <w:tr w:rsidR="00171D10" w14:paraId="676AC0B6" w14:textId="77777777" w:rsidTr="005E77A3">
        <w:tc>
          <w:tcPr>
            <w:tcW w:w="4508" w:type="dxa"/>
          </w:tcPr>
          <w:p w14:paraId="6447CA9B" w14:textId="77777777" w:rsidR="00171D10" w:rsidRDefault="00171D10" w:rsidP="005E77A3">
            <w:pPr>
              <w:spacing w:line="360" w:lineRule="auto"/>
            </w:pPr>
            <w:r>
              <w:t>Infant details</w:t>
            </w:r>
          </w:p>
        </w:tc>
        <w:tc>
          <w:tcPr>
            <w:tcW w:w="4508" w:type="dxa"/>
          </w:tcPr>
          <w:p w14:paraId="31347A45" w14:textId="77777777" w:rsidR="00171D10" w:rsidRDefault="00171D10" w:rsidP="005E77A3">
            <w:pPr>
              <w:spacing w:line="360" w:lineRule="auto"/>
            </w:pPr>
            <w:r>
              <w:t>NHS number</w:t>
            </w:r>
          </w:p>
          <w:p w14:paraId="45437A5D" w14:textId="77777777" w:rsidR="00171D10" w:rsidRDefault="00171D10" w:rsidP="005E77A3">
            <w:pPr>
              <w:spacing w:line="360" w:lineRule="auto"/>
            </w:pPr>
            <w:r>
              <w:t>Date of birth</w:t>
            </w:r>
          </w:p>
          <w:p w14:paraId="48BA1EB2" w14:textId="77777777" w:rsidR="00171D10" w:rsidRDefault="00171D10" w:rsidP="005E77A3">
            <w:pPr>
              <w:spacing w:line="360" w:lineRule="auto"/>
            </w:pPr>
            <w:r>
              <w:t>Birth weight</w:t>
            </w:r>
          </w:p>
          <w:p w14:paraId="2738757F" w14:textId="77777777" w:rsidR="00171D10" w:rsidRDefault="00171D10" w:rsidP="005E77A3">
            <w:pPr>
              <w:spacing w:line="360" w:lineRule="auto"/>
            </w:pPr>
            <w:r>
              <w:t>Gestational age</w:t>
            </w:r>
          </w:p>
          <w:p w14:paraId="3C005304" w14:textId="77777777" w:rsidR="00171D10" w:rsidRDefault="00171D10" w:rsidP="005E77A3">
            <w:pPr>
              <w:spacing w:line="360" w:lineRule="auto"/>
            </w:pPr>
            <w:r>
              <w:t>Reason for admission</w:t>
            </w:r>
          </w:p>
          <w:p w14:paraId="737D9E09" w14:textId="77777777" w:rsidR="00171D10" w:rsidRDefault="00171D10" w:rsidP="005E77A3">
            <w:pPr>
              <w:spacing w:line="360" w:lineRule="auto"/>
            </w:pPr>
            <w:r>
              <w:t>Unit admitted to</w:t>
            </w:r>
          </w:p>
          <w:p w14:paraId="3524BA74" w14:textId="77777777" w:rsidR="00171D10" w:rsidRDefault="00171D10" w:rsidP="005E77A3">
            <w:pPr>
              <w:spacing w:line="360" w:lineRule="auto"/>
            </w:pPr>
            <w:r>
              <w:t>Diagnosis at admission</w:t>
            </w:r>
          </w:p>
          <w:p w14:paraId="5D11BF4B" w14:textId="77777777" w:rsidR="00171D10" w:rsidRDefault="00171D10" w:rsidP="005E77A3">
            <w:pPr>
              <w:spacing w:line="360" w:lineRule="auto"/>
            </w:pPr>
            <w:r>
              <w:t>Diagnosis at discharge</w:t>
            </w:r>
          </w:p>
          <w:p w14:paraId="0CE48135" w14:textId="77777777" w:rsidR="00171D10" w:rsidRDefault="00171D10" w:rsidP="005E77A3">
            <w:pPr>
              <w:spacing w:line="360" w:lineRule="auto"/>
            </w:pPr>
            <w:r>
              <w:t>Discharged on oxygen</w:t>
            </w:r>
          </w:p>
          <w:p w14:paraId="353D8361" w14:textId="77777777" w:rsidR="00171D10" w:rsidRDefault="00171D10" w:rsidP="005E77A3">
            <w:pPr>
              <w:spacing w:line="360" w:lineRule="auto"/>
            </w:pPr>
            <w:r>
              <w:t>Date of discharge</w:t>
            </w:r>
          </w:p>
          <w:p w14:paraId="13E5F1C3" w14:textId="77777777" w:rsidR="00171D10" w:rsidRDefault="00171D10" w:rsidP="005E77A3">
            <w:pPr>
              <w:spacing w:line="360" w:lineRule="auto"/>
            </w:pPr>
            <w:r>
              <w:t>Date of death</w:t>
            </w:r>
          </w:p>
          <w:p w14:paraId="7778914A" w14:textId="77777777" w:rsidR="00171D10" w:rsidRDefault="00171D10" w:rsidP="005E77A3">
            <w:pPr>
              <w:spacing w:line="360" w:lineRule="auto"/>
            </w:pPr>
          </w:p>
        </w:tc>
      </w:tr>
      <w:tr w:rsidR="00171D10" w14:paraId="5A26CD54" w14:textId="77777777" w:rsidTr="005E77A3">
        <w:tc>
          <w:tcPr>
            <w:tcW w:w="4508" w:type="dxa"/>
          </w:tcPr>
          <w:p w14:paraId="056FF7A3" w14:textId="77777777" w:rsidR="00171D10" w:rsidRDefault="00171D10" w:rsidP="005E77A3">
            <w:pPr>
              <w:spacing w:line="360" w:lineRule="auto"/>
            </w:pPr>
            <w:r>
              <w:t>Parental details</w:t>
            </w:r>
          </w:p>
        </w:tc>
        <w:tc>
          <w:tcPr>
            <w:tcW w:w="4508" w:type="dxa"/>
          </w:tcPr>
          <w:p w14:paraId="337BE2CF" w14:textId="77777777" w:rsidR="00171D10" w:rsidRDefault="00171D10" w:rsidP="005E77A3">
            <w:pPr>
              <w:spacing w:line="360" w:lineRule="auto"/>
            </w:pPr>
            <w:r>
              <w:t>Mothers’ occupation</w:t>
            </w:r>
          </w:p>
          <w:p w14:paraId="32B8FAB0" w14:textId="77777777" w:rsidR="00171D10" w:rsidRDefault="00171D10" w:rsidP="005E77A3">
            <w:pPr>
              <w:spacing w:line="360" w:lineRule="auto"/>
            </w:pPr>
            <w:r>
              <w:t>Fathers’ date of birth</w:t>
            </w:r>
          </w:p>
          <w:p w14:paraId="7D760375" w14:textId="77777777" w:rsidR="00171D10" w:rsidRDefault="00171D10" w:rsidP="005E77A3">
            <w:pPr>
              <w:spacing w:line="360" w:lineRule="auto"/>
            </w:pPr>
            <w:r>
              <w:t>Fathers’ ethnicity</w:t>
            </w:r>
          </w:p>
          <w:p w14:paraId="336F9152" w14:textId="77777777" w:rsidR="00171D10" w:rsidRDefault="00171D10" w:rsidP="005E77A3">
            <w:pPr>
              <w:spacing w:line="360" w:lineRule="auto"/>
            </w:pPr>
          </w:p>
        </w:tc>
      </w:tr>
    </w:tbl>
    <w:p w14:paraId="1DA007DA" w14:textId="77777777" w:rsidR="00171D10" w:rsidRPr="00B2105F" w:rsidRDefault="00171D10" w:rsidP="00171D10">
      <w:pPr>
        <w:spacing w:line="360" w:lineRule="auto"/>
      </w:pPr>
    </w:p>
    <w:p w14:paraId="1F5A0519" w14:textId="77777777" w:rsidR="00171D10" w:rsidRDefault="00171D10" w:rsidP="00171D10">
      <w:pPr>
        <w:pStyle w:val="ListParagraph"/>
        <w:numPr>
          <w:ilvl w:val="0"/>
          <w:numId w:val="20"/>
        </w:numPr>
        <w:spacing w:line="360" w:lineRule="auto"/>
      </w:pPr>
      <w:r>
        <w:t>Database(s) 3 – CHIS</w:t>
      </w:r>
    </w:p>
    <w:p w14:paraId="5B824DD2" w14:textId="12DB6EF0" w:rsidR="00171D10" w:rsidRDefault="00171D10" w:rsidP="00171D10">
      <w:pPr>
        <w:spacing w:line="360" w:lineRule="auto"/>
      </w:pPr>
      <w:r>
        <w:t>All infants’ immunisation data will be requested for the defined time period</w:t>
      </w:r>
      <w:r w:rsidR="00366C95">
        <w:t xml:space="preserve"> based on the NHS number identified by the MSDS</w:t>
      </w:r>
      <w:r>
        <w:t>, and matched using NHS numbers, so data to be requested will be:</w:t>
      </w:r>
    </w:p>
    <w:tbl>
      <w:tblPr>
        <w:tblStyle w:val="TableGrid"/>
        <w:tblW w:w="0" w:type="auto"/>
        <w:tblLook w:val="04A0" w:firstRow="1" w:lastRow="0" w:firstColumn="1" w:lastColumn="0" w:noHBand="0" w:noVBand="1"/>
      </w:tblPr>
      <w:tblGrid>
        <w:gridCol w:w="4508"/>
        <w:gridCol w:w="4508"/>
      </w:tblGrid>
      <w:tr w:rsidR="00171D10" w14:paraId="6C4F40FE" w14:textId="77777777" w:rsidTr="005E77A3">
        <w:tc>
          <w:tcPr>
            <w:tcW w:w="4508" w:type="dxa"/>
          </w:tcPr>
          <w:p w14:paraId="30F064E8" w14:textId="77777777" w:rsidR="00171D10" w:rsidRDefault="00171D10" w:rsidP="005E77A3">
            <w:pPr>
              <w:spacing w:line="360" w:lineRule="auto"/>
            </w:pPr>
            <w:r>
              <w:lastRenderedPageBreak/>
              <w:t>Infant details</w:t>
            </w:r>
          </w:p>
        </w:tc>
        <w:tc>
          <w:tcPr>
            <w:tcW w:w="4508" w:type="dxa"/>
          </w:tcPr>
          <w:p w14:paraId="115BD62D" w14:textId="77777777" w:rsidR="00171D10" w:rsidRDefault="00171D10" w:rsidP="005E77A3">
            <w:pPr>
              <w:spacing w:line="360" w:lineRule="auto"/>
            </w:pPr>
            <w:r>
              <w:t>NHS number</w:t>
            </w:r>
          </w:p>
          <w:p w14:paraId="0B34312D" w14:textId="77777777" w:rsidR="00171D10" w:rsidRDefault="00171D10" w:rsidP="005E77A3">
            <w:pPr>
              <w:spacing w:line="360" w:lineRule="auto"/>
            </w:pPr>
            <w:r>
              <w:t>Date of birth</w:t>
            </w:r>
          </w:p>
        </w:tc>
      </w:tr>
      <w:tr w:rsidR="00171D10" w14:paraId="2D3C535B" w14:textId="77777777" w:rsidTr="005E77A3">
        <w:tc>
          <w:tcPr>
            <w:tcW w:w="4508" w:type="dxa"/>
          </w:tcPr>
          <w:p w14:paraId="377D5293" w14:textId="77777777" w:rsidR="00171D10" w:rsidRDefault="00171D10" w:rsidP="005E77A3">
            <w:pPr>
              <w:spacing w:line="360" w:lineRule="auto"/>
            </w:pPr>
            <w:r>
              <w:t>Immunisation data</w:t>
            </w:r>
          </w:p>
        </w:tc>
        <w:tc>
          <w:tcPr>
            <w:tcW w:w="4508" w:type="dxa"/>
          </w:tcPr>
          <w:p w14:paraId="5DD5A672" w14:textId="77777777" w:rsidR="00171D10" w:rsidRPr="004F6881" w:rsidRDefault="00171D10" w:rsidP="005E77A3">
            <w:pPr>
              <w:spacing w:line="360" w:lineRule="auto"/>
              <w:jc w:val="both"/>
              <w:rPr>
                <w:rFonts w:cstheme="minorHAnsi"/>
              </w:rPr>
            </w:pPr>
            <w:r w:rsidRPr="004F6881">
              <w:rPr>
                <w:rFonts w:cstheme="minorHAnsi"/>
              </w:rPr>
              <w:t xml:space="preserve">Date of 8 week scheduled vaccines: </w:t>
            </w:r>
          </w:p>
          <w:p w14:paraId="685F4378" w14:textId="77777777" w:rsidR="00171D10" w:rsidRPr="004F6881" w:rsidRDefault="00171D10" w:rsidP="005E77A3">
            <w:pPr>
              <w:spacing w:line="360" w:lineRule="auto"/>
              <w:jc w:val="both"/>
              <w:rPr>
                <w:rFonts w:cstheme="minorHAnsi"/>
                <w:color w:val="000000" w:themeColor="text1"/>
              </w:rPr>
            </w:pPr>
            <w:r w:rsidRPr="004F6881">
              <w:rPr>
                <w:rFonts w:cstheme="minorHAnsi"/>
                <w:color w:val="000000" w:themeColor="text1"/>
              </w:rPr>
              <w:t>DTaP/IPV/Hib</w:t>
            </w:r>
            <w:r>
              <w:rPr>
                <w:rFonts w:cstheme="minorHAnsi"/>
                <w:color w:val="000000" w:themeColor="text1"/>
              </w:rPr>
              <w:t xml:space="preserve"> &amp; Hep B</w:t>
            </w:r>
            <w:r w:rsidRPr="004F6881">
              <w:rPr>
                <w:rFonts w:cstheme="minorHAnsi"/>
                <w:color w:val="000000" w:themeColor="text1"/>
              </w:rPr>
              <w:t>, PCV, MenB, Rotavirus</w:t>
            </w:r>
          </w:p>
          <w:p w14:paraId="29AC4D8E" w14:textId="77777777" w:rsidR="00171D10" w:rsidRPr="004F6881" w:rsidRDefault="00171D10" w:rsidP="005E77A3">
            <w:pPr>
              <w:spacing w:line="360" w:lineRule="auto"/>
              <w:jc w:val="both"/>
              <w:rPr>
                <w:rFonts w:cstheme="minorHAnsi"/>
                <w:color w:val="000000" w:themeColor="text1"/>
              </w:rPr>
            </w:pPr>
          </w:p>
          <w:p w14:paraId="5227F6D5" w14:textId="77777777" w:rsidR="00171D10" w:rsidRPr="004F6881" w:rsidRDefault="00171D10" w:rsidP="005E77A3">
            <w:pPr>
              <w:spacing w:line="360" w:lineRule="auto"/>
              <w:jc w:val="both"/>
              <w:rPr>
                <w:rFonts w:cstheme="minorHAnsi"/>
                <w:color w:val="000000" w:themeColor="text1"/>
              </w:rPr>
            </w:pPr>
            <w:r w:rsidRPr="004F6881">
              <w:rPr>
                <w:rFonts w:cstheme="minorHAnsi"/>
                <w:color w:val="000000" w:themeColor="text1"/>
              </w:rPr>
              <w:t>Date of 12 week scheduled vaccines:</w:t>
            </w:r>
          </w:p>
          <w:p w14:paraId="623536B3" w14:textId="77777777" w:rsidR="00171D10" w:rsidRPr="004F6881" w:rsidRDefault="00171D10" w:rsidP="005E77A3">
            <w:pPr>
              <w:spacing w:line="360" w:lineRule="auto"/>
              <w:jc w:val="both"/>
              <w:rPr>
                <w:rFonts w:cstheme="minorHAnsi"/>
                <w:color w:val="000000" w:themeColor="text1"/>
              </w:rPr>
            </w:pPr>
            <w:r w:rsidRPr="004F6881">
              <w:rPr>
                <w:rFonts w:cstheme="minorHAnsi"/>
                <w:color w:val="000000" w:themeColor="text1"/>
              </w:rPr>
              <w:t>DTaP/IPV/Hib</w:t>
            </w:r>
            <w:r>
              <w:rPr>
                <w:rFonts w:cstheme="minorHAnsi"/>
                <w:color w:val="000000" w:themeColor="text1"/>
              </w:rPr>
              <w:t xml:space="preserve"> &amp; Hep B</w:t>
            </w:r>
            <w:r w:rsidRPr="004F6881">
              <w:rPr>
                <w:rFonts w:cstheme="minorHAnsi"/>
                <w:color w:val="000000" w:themeColor="text1"/>
              </w:rPr>
              <w:t>, Rotavirus</w:t>
            </w:r>
          </w:p>
          <w:p w14:paraId="2E804B64" w14:textId="77777777" w:rsidR="00171D10" w:rsidRPr="004F6881" w:rsidRDefault="00171D10" w:rsidP="005E77A3">
            <w:pPr>
              <w:spacing w:line="360" w:lineRule="auto"/>
              <w:jc w:val="both"/>
              <w:rPr>
                <w:rFonts w:cstheme="minorHAnsi"/>
                <w:color w:val="000000" w:themeColor="text1"/>
              </w:rPr>
            </w:pPr>
          </w:p>
          <w:p w14:paraId="0AD9176B" w14:textId="77777777" w:rsidR="00171D10" w:rsidRPr="004F6881" w:rsidRDefault="00171D10" w:rsidP="005E77A3">
            <w:pPr>
              <w:spacing w:line="360" w:lineRule="auto"/>
              <w:jc w:val="both"/>
              <w:rPr>
                <w:rFonts w:cstheme="minorHAnsi"/>
                <w:color w:val="000000" w:themeColor="text1"/>
              </w:rPr>
            </w:pPr>
            <w:r w:rsidRPr="004F6881">
              <w:rPr>
                <w:rFonts w:cstheme="minorHAnsi"/>
                <w:color w:val="000000" w:themeColor="text1"/>
              </w:rPr>
              <w:t>Date of 16 week scheduled vaccines:</w:t>
            </w:r>
          </w:p>
          <w:p w14:paraId="4564206A" w14:textId="77777777" w:rsidR="00171D10" w:rsidRDefault="00171D10" w:rsidP="005E77A3">
            <w:pPr>
              <w:spacing w:line="360" w:lineRule="auto"/>
            </w:pPr>
            <w:r w:rsidRPr="004F6881">
              <w:rPr>
                <w:rFonts w:cstheme="minorHAnsi"/>
                <w:color w:val="000000" w:themeColor="text1"/>
              </w:rPr>
              <w:t>DTaP/IPV/Hib</w:t>
            </w:r>
            <w:r>
              <w:rPr>
                <w:rFonts w:cstheme="minorHAnsi"/>
                <w:color w:val="000000" w:themeColor="text1"/>
              </w:rPr>
              <w:t xml:space="preserve"> &amp; Hep B</w:t>
            </w:r>
            <w:r w:rsidRPr="004F6881">
              <w:rPr>
                <w:rFonts w:cstheme="minorHAnsi"/>
                <w:color w:val="000000" w:themeColor="text1"/>
              </w:rPr>
              <w:t>, PCV, MenB</w:t>
            </w:r>
          </w:p>
        </w:tc>
      </w:tr>
    </w:tbl>
    <w:p w14:paraId="23CC3968" w14:textId="77777777" w:rsidR="006B5FCF" w:rsidRDefault="006B5FCF" w:rsidP="00AA1329">
      <w:pPr>
        <w:spacing w:line="360" w:lineRule="auto"/>
        <w:jc w:val="both"/>
      </w:pPr>
    </w:p>
    <w:p w14:paraId="582C8CD7" w14:textId="1EE33481" w:rsidR="00171D10" w:rsidRPr="00171D10" w:rsidRDefault="00171D10" w:rsidP="00AA1329">
      <w:pPr>
        <w:spacing w:line="360" w:lineRule="auto"/>
        <w:jc w:val="both"/>
        <w:rPr>
          <w:i/>
        </w:rPr>
      </w:pPr>
      <w:r>
        <w:t>The time period of interest is over 6-months; all infants due their first vaccinations (at 8 weeks of age) from 1</w:t>
      </w:r>
      <w:r w:rsidRPr="00092D3C">
        <w:rPr>
          <w:vertAlign w:val="superscript"/>
        </w:rPr>
        <w:t>st</w:t>
      </w:r>
      <w:r w:rsidR="00AA1329">
        <w:t xml:space="preserve"> January 2018</w:t>
      </w:r>
      <w:r>
        <w:t xml:space="preserve"> up to and including 30</w:t>
      </w:r>
      <w:r w:rsidRPr="00092D3C">
        <w:rPr>
          <w:vertAlign w:val="superscript"/>
        </w:rPr>
        <w:t>th</w:t>
      </w:r>
      <w:r w:rsidR="00AA1329">
        <w:t xml:space="preserve"> June 2018</w:t>
      </w:r>
      <w:r>
        <w:t xml:space="preserve">. Therefore, </w:t>
      </w:r>
      <w:r w:rsidR="00EB3516">
        <w:t xml:space="preserve">eligible infants to be identified by </w:t>
      </w:r>
      <w:r>
        <w:t>MSDS data will be</w:t>
      </w:r>
      <w:r w:rsidR="00EB3516">
        <w:t xml:space="preserve"> those</w:t>
      </w:r>
      <w:r>
        <w:t xml:space="preserve"> born between 6</w:t>
      </w:r>
      <w:r w:rsidRPr="00092D3C">
        <w:rPr>
          <w:vertAlign w:val="superscript"/>
        </w:rPr>
        <w:t>th</w:t>
      </w:r>
      <w:r w:rsidR="00AA1329">
        <w:t xml:space="preserve"> November 2017</w:t>
      </w:r>
      <w:r>
        <w:t xml:space="preserve"> and 5</w:t>
      </w:r>
      <w:r w:rsidRPr="00092D3C">
        <w:rPr>
          <w:vertAlign w:val="superscript"/>
        </w:rPr>
        <w:t>th</w:t>
      </w:r>
      <w:r w:rsidR="00AA1329">
        <w:t xml:space="preserve"> May 2018</w:t>
      </w:r>
      <w:r>
        <w:t xml:space="preserve">. </w:t>
      </w:r>
    </w:p>
    <w:p w14:paraId="34BEC69A" w14:textId="63F7EEA9" w:rsidR="00336713" w:rsidRDefault="00336713" w:rsidP="00F767A5">
      <w:pPr>
        <w:spacing w:line="360" w:lineRule="auto"/>
        <w:jc w:val="both"/>
      </w:pPr>
      <w:r>
        <w:t>Figure 1</w:t>
      </w:r>
      <w:r w:rsidR="00FA6A47">
        <w:t xml:space="preserve"> illustrates how the data would be </w:t>
      </w:r>
      <w:r w:rsidR="00B3273C">
        <w:t xml:space="preserve">requested, linked and managed so that the Chief Investigator </w:t>
      </w:r>
      <w:r w:rsidR="0060224A">
        <w:t>is ultimately analysing fully anonymised data.</w:t>
      </w:r>
    </w:p>
    <w:p w14:paraId="2E941D9E" w14:textId="77777777" w:rsidR="00336713" w:rsidRPr="009B7DE8" w:rsidRDefault="00336713" w:rsidP="00F767A5">
      <w:pPr>
        <w:spacing w:line="360" w:lineRule="auto"/>
        <w:jc w:val="both"/>
        <w:rPr>
          <w:b/>
          <w:i/>
        </w:rPr>
      </w:pPr>
      <w:r w:rsidRPr="009B7DE8">
        <w:rPr>
          <w:b/>
          <w:i/>
        </w:rPr>
        <w:t>Figure 1 – Data management process</w:t>
      </w:r>
    </w:p>
    <w:p w14:paraId="46AE22D2" w14:textId="728A653C" w:rsidR="005709ED" w:rsidRDefault="00224706" w:rsidP="00F767A5">
      <w:pPr>
        <w:spacing w:line="360" w:lineRule="auto"/>
        <w:jc w:val="both"/>
      </w:pPr>
      <w:r w:rsidRPr="00224706">
        <w:rPr>
          <w:noProof/>
          <w:lang w:eastAsia="en-GB"/>
        </w:rPr>
        <w:drawing>
          <wp:inline distT="0" distB="0" distL="0" distR="0" wp14:anchorId="425AA6C2" wp14:editId="346272A9">
            <wp:extent cx="6197753"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02708" cy="3488937"/>
                    </a:xfrm>
                    <a:prstGeom prst="rect">
                      <a:avLst/>
                    </a:prstGeom>
                  </pic:spPr>
                </pic:pic>
              </a:graphicData>
            </a:graphic>
          </wp:inline>
        </w:drawing>
      </w:r>
    </w:p>
    <w:p w14:paraId="5DF6B42C" w14:textId="2C1009DE" w:rsidR="00905952" w:rsidRDefault="00905952" w:rsidP="00AA1329">
      <w:pPr>
        <w:spacing w:line="360" w:lineRule="auto"/>
        <w:jc w:val="both"/>
        <w:rPr>
          <w:rFonts w:cstheme="minorHAnsi"/>
        </w:rPr>
      </w:pPr>
      <w:r>
        <w:rPr>
          <w:rFonts w:cstheme="minorHAnsi"/>
        </w:rPr>
        <w:lastRenderedPageBreak/>
        <w:t>Analysis of these data would address the overall research aim</w:t>
      </w:r>
      <w:r w:rsidR="00AA1329">
        <w:rPr>
          <w:rFonts w:cstheme="minorHAnsi"/>
        </w:rPr>
        <w:t xml:space="preserve"> investigating</w:t>
      </w:r>
      <w:r>
        <w:rPr>
          <w:rFonts w:cstheme="minorHAnsi"/>
        </w:rPr>
        <w:t xml:space="preserve"> the timeliness of vaccination. The additional variables requested from the </w:t>
      </w:r>
      <w:r w:rsidR="007B5425">
        <w:rPr>
          <w:rFonts w:cstheme="minorHAnsi"/>
        </w:rPr>
        <w:t xml:space="preserve">MSDS and the </w:t>
      </w:r>
      <w:r>
        <w:rPr>
          <w:rFonts w:cstheme="minorHAnsi"/>
        </w:rPr>
        <w:t>NNRD would also facilitate the identification of certain factors associated with timeliness of vaccination in preterm infants.</w:t>
      </w:r>
    </w:p>
    <w:p w14:paraId="4C016DF3" w14:textId="2E1B29DE" w:rsidR="00171D10" w:rsidRPr="00AA1329" w:rsidRDefault="00CC30B2" w:rsidP="00AA1329">
      <w:pPr>
        <w:spacing w:line="360" w:lineRule="auto"/>
        <w:jc w:val="both"/>
      </w:pPr>
      <w:r>
        <w:rPr>
          <w:rFonts w:cstheme="minorHAnsi"/>
          <w:szCs w:val="24"/>
        </w:rPr>
        <w:t>Following a process</w:t>
      </w:r>
      <w:r w:rsidRPr="00CC30B2">
        <w:rPr>
          <w:rFonts w:cstheme="minorHAnsi"/>
          <w:szCs w:val="24"/>
        </w:rPr>
        <w:t xml:space="preserve"> </w:t>
      </w:r>
      <w:r>
        <w:rPr>
          <w:rFonts w:cstheme="minorHAnsi"/>
          <w:szCs w:val="24"/>
        </w:rPr>
        <w:t>of checking, editing and coding,</w:t>
      </w:r>
      <w:r w:rsidRPr="00CC30B2">
        <w:t xml:space="preserve"> </w:t>
      </w:r>
      <w:r>
        <w:t>the anonymised data would be analysed using descriptive statistics and relational analyses using SPSS.</w:t>
      </w:r>
    </w:p>
    <w:p w14:paraId="25BAF99E" w14:textId="0DF25023" w:rsidR="007A475A" w:rsidRPr="002A1699" w:rsidRDefault="007A475A" w:rsidP="006B5FCF">
      <w:pPr>
        <w:pStyle w:val="ListParagraph"/>
        <w:numPr>
          <w:ilvl w:val="0"/>
          <w:numId w:val="20"/>
        </w:numPr>
        <w:spacing w:line="360" w:lineRule="auto"/>
        <w:jc w:val="both"/>
      </w:pPr>
      <w:r w:rsidRPr="006B5FCF">
        <w:rPr>
          <w:b/>
          <w:bCs/>
          <w:u w:val="single"/>
        </w:rPr>
        <w:t>Ethics</w:t>
      </w:r>
      <w:r w:rsidR="00B61A35" w:rsidRPr="006B5FCF">
        <w:rPr>
          <w:b/>
          <w:bCs/>
          <w:u w:val="single"/>
        </w:rPr>
        <w:t xml:space="preserve"> and approvals</w:t>
      </w:r>
      <w:r>
        <w:t xml:space="preserve"> </w:t>
      </w:r>
    </w:p>
    <w:p w14:paraId="2DDEF056" w14:textId="194AF793" w:rsidR="00706DAA" w:rsidRDefault="001D49BD" w:rsidP="00F1212E">
      <w:pPr>
        <w:spacing w:line="360" w:lineRule="auto"/>
        <w:jc w:val="both"/>
        <w:rPr>
          <w:rFonts w:cstheme="minorHAnsi"/>
        </w:rPr>
      </w:pPr>
      <w:r>
        <w:rPr>
          <w:rFonts w:cstheme="minorHAnsi"/>
        </w:rPr>
        <w:t xml:space="preserve">The nature of the project’s design </w:t>
      </w:r>
      <w:r w:rsidR="001C2BDA">
        <w:rPr>
          <w:rFonts w:cstheme="minorHAnsi"/>
        </w:rPr>
        <w:t>negates</w:t>
      </w:r>
      <w:r>
        <w:rPr>
          <w:rFonts w:cstheme="minorHAnsi"/>
        </w:rPr>
        <w:t xml:space="preserve"> the need to obtain informed consent from all individuals</w:t>
      </w:r>
      <w:r w:rsidR="00482F8F">
        <w:rPr>
          <w:rFonts w:cstheme="minorHAnsi"/>
        </w:rPr>
        <w:t xml:space="preserve"> whose data are</w:t>
      </w:r>
      <w:r w:rsidR="001C2BDA">
        <w:rPr>
          <w:rFonts w:cstheme="minorHAnsi"/>
        </w:rPr>
        <w:t xml:space="preserve"> included. </w:t>
      </w:r>
      <w:r w:rsidR="00CC30B2">
        <w:rPr>
          <w:rFonts w:cstheme="minorHAnsi"/>
        </w:rPr>
        <w:t>For this project, full ethical approval will be</w:t>
      </w:r>
      <w:r w:rsidR="00706DAA" w:rsidRPr="00FC79F5">
        <w:rPr>
          <w:rFonts w:cstheme="minorHAnsi"/>
        </w:rPr>
        <w:t xml:space="preserve"> sought via the Integrated Research Application System (IRAS). Additionally, the use of secondary data for this study without obtaining informed consent, </w:t>
      </w:r>
      <w:r w:rsidR="00CC30B2">
        <w:rPr>
          <w:rFonts w:cstheme="minorHAnsi"/>
        </w:rPr>
        <w:t>requires</w:t>
      </w:r>
      <w:r w:rsidR="00706DAA" w:rsidRPr="00FC79F5">
        <w:rPr>
          <w:rFonts w:cstheme="minorHAnsi"/>
        </w:rPr>
        <w:t xml:space="preserve"> approval from the Confid</w:t>
      </w:r>
      <w:r w:rsidR="00CC30B2">
        <w:rPr>
          <w:rFonts w:cstheme="minorHAnsi"/>
        </w:rPr>
        <w:t>entiality Advisory Group (CAG)</w:t>
      </w:r>
      <w:r w:rsidR="00AB0EA9">
        <w:rPr>
          <w:rFonts w:cstheme="minorHAnsi"/>
        </w:rPr>
        <w:t xml:space="preserve"> (also </w:t>
      </w:r>
      <w:r w:rsidR="00706DAA" w:rsidRPr="00FC79F5">
        <w:rPr>
          <w:rFonts w:cstheme="minorHAnsi"/>
        </w:rPr>
        <w:t>sought via the IRAS application</w:t>
      </w:r>
      <w:r w:rsidR="00AB0EA9">
        <w:rPr>
          <w:rFonts w:cstheme="minorHAnsi"/>
        </w:rPr>
        <w:t>)</w:t>
      </w:r>
      <w:r w:rsidR="00706DAA" w:rsidRPr="00FC79F5">
        <w:rPr>
          <w:rFonts w:cstheme="minorHAnsi"/>
        </w:rPr>
        <w:t xml:space="preserve">. Prior to entering data into the </w:t>
      </w:r>
      <w:r w:rsidR="00F1212E">
        <w:rPr>
          <w:rFonts w:cstheme="minorHAnsi"/>
        </w:rPr>
        <w:t xml:space="preserve">MSDS, </w:t>
      </w:r>
      <w:r w:rsidR="00706DAA" w:rsidRPr="00FC79F5">
        <w:rPr>
          <w:rFonts w:cstheme="minorHAnsi"/>
        </w:rPr>
        <w:t>CHIS</w:t>
      </w:r>
      <w:r w:rsidR="00482F8F">
        <w:rPr>
          <w:rFonts w:cstheme="minorHAnsi"/>
        </w:rPr>
        <w:t xml:space="preserve"> </w:t>
      </w:r>
      <w:r w:rsidR="00706DAA" w:rsidRPr="00FC79F5">
        <w:rPr>
          <w:rFonts w:cstheme="minorHAnsi"/>
        </w:rPr>
        <w:t xml:space="preserve">and </w:t>
      </w:r>
      <w:r w:rsidR="00AB0EA9">
        <w:rPr>
          <w:rFonts w:cstheme="minorHAnsi"/>
        </w:rPr>
        <w:t xml:space="preserve">the </w:t>
      </w:r>
      <w:r w:rsidR="00706DAA" w:rsidRPr="00FC79F5">
        <w:rPr>
          <w:rFonts w:cstheme="minorHAnsi"/>
        </w:rPr>
        <w:t>NNRD, parental consent is obtained wh</w:t>
      </w:r>
      <w:r w:rsidR="00F1212E">
        <w:rPr>
          <w:rFonts w:cstheme="minorHAnsi"/>
        </w:rPr>
        <w:t>ere parents are informed of what data are being collected and why</w:t>
      </w:r>
      <w:r w:rsidR="00706DAA" w:rsidRPr="00FC79F5">
        <w:rPr>
          <w:rFonts w:cstheme="minorHAnsi"/>
        </w:rPr>
        <w:t>. Additionally, the NNRD is a national Research Ethics Committee approved d</w:t>
      </w:r>
      <w:r w:rsidR="00AB0EA9">
        <w:rPr>
          <w:rFonts w:cstheme="minorHAnsi"/>
        </w:rPr>
        <w:t>atabase (Gale &amp; Morris, 2016). T</w:t>
      </w:r>
      <w:r w:rsidR="00706DAA" w:rsidRPr="00FC79F5">
        <w:rPr>
          <w:rFonts w:cstheme="minorHAnsi"/>
        </w:rPr>
        <w:t>he need to obtain the necessary permissions from the custodians of the data</w:t>
      </w:r>
      <w:r w:rsidR="00171D10">
        <w:rPr>
          <w:rFonts w:cstheme="minorHAnsi"/>
        </w:rPr>
        <w:t>sets</w:t>
      </w:r>
      <w:r w:rsidR="00AB0EA9">
        <w:rPr>
          <w:rFonts w:cstheme="minorHAnsi"/>
        </w:rPr>
        <w:t xml:space="preserve"> is also identified</w:t>
      </w:r>
      <w:r w:rsidR="00706DAA" w:rsidRPr="00FC79F5">
        <w:rPr>
          <w:rFonts w:cstheme="minorHAnsi"/>
        </w:rPr>
        <w:t xml:space="preserve">, and this </w:t>
      </w:r>
      <w:r w:rsidR="00AB0EA9">
        <w:rPr>
          <w:rFonts w:cstheme="minorHAnsi"/>
        </w:rPr>
        <w:t>will be sought from the</w:t>
      </w:r>
      <w:r w:rsidR="00744988">
        <w:rPr>
          <w:rFonts w:cstheme="minorHAnsi"/>
        </w:rPr>
        <w:t xml:space="preserve"> providers of the</w:t>
      </w:r>
      <w:r w:rsidR="00706DAA" w:rsidRPr="00FC79F5">
        <w:rPr>
          <w:rFonts w:cstheme="minorHAnsi"/>
        </w:rPr>
        <w:t xml:space="preserve"> CHIS </w:t>
      </w:r>
      <w:r w:rsidR="00AB0EA9">
        <w:rPr>
          <w:rFonts w:cstheme="minorHAnsi"/>
        </w:rPr>
        <w:t xml:space="preserve">departments </w:t>
      </w:r>
      <w:r w:rsidR="00F1212E">
        <w:rPr>
          <w:rFonts w:cstheme="minorHAnsi"/>
        </w:rPr>
        <w:t xml:space="preserve">and MSDS and NNRD </w:t>
      </w:r>
      <w:r w:rsidR="007B5425">
        <w:rPr>
          <w:rFonts w:cstheme="minorHAnsi"/>
        </w:rPr>
        <w:t>host organisations</w:t>
      </w:r>
      <w:r w:rsidR="00F1212E">
        <w:rPr>
          <w:rFonts w:cstheme="minorHAnsi"/>
        </w:rPr>
        <w:t xml:space="preserve">. </w:t>
      </w:r>
      <w:r w:rsidR="00706DAA" w:rsidRPr="00FC79F5">
        <w:rPr>
          <w:rFonts w:cstheme="minorHAnsi"/>
        </w:rPr>
        <w:t>Prior to undertaking the study, an applica</w:t>
      </w:r>
      <w:r w:rsidR="00AB0EA9">
        <w:rPr>
          <w:rFonts w:cstheme="minorHAnsi"/>
        </w:rPr>
        <w:t>tion for review and approval will</w:t>
      </w:r>
      <w:r w:rsidR="00706DAA" w:rsidRPr="00FC79F5">
        <w:rPr>
          <w:rFonts w:cstheme="minorHAnsi"/>
        </w:rPr>
        <w:t xml:space="preserve"> also </w:t>
      </w:r>
      <w:r w:rsidR="00AB0EA9">
        <w:rPr>
          <w:rFonts w:cstheme="minorHAnsi"/>
        </w:rPr>
        <w:t xml:space="preserve">be </w:t>
      </w:r>
      <w:r w:rsidR="00706DAA" w:rsidRPr="00FC79F5">
        <w:rPr>
          <w:rFonts w:cstheme="minorHAnsi"/>
        </w:rPr>
        <w:t xml:space="preserve">submitted to the </w:t>
      </w:r>
      <w:r w:rsidR="00AB0EA9">
        <w:rPr>
          <w:rFonts w:cstheme="minorHAnsi"/>
        </w:rPr>
        <w:t xml:space="preserve">Chief Investigators organisation: The University of Hull, </w:t>
      </w:r>
      <w:r w:rsidR="00706DAA" w:rsidRPr="00FC79F5">
        <w:rPr>
          <w:rFonts w:cstheme="minorHAnsi"/>
        </w:rPr>
        <w:t xml:space="preserve">Faculty of Health </w:t>
      </w:r>
      <w:r w:rsidR="00AB0EA9">
        <w:rPr>
          <w:rFonts w:cstheme="minorHAnsi"/>
        </w:rPr>
        <w:t>Sciences.</w:t>
      </w:r>
    </w:p>
    <w:p w14:paraId="3339B99E" w14:textId="492301B4" w:rsidR="00AB0EA9" w:rsidRPr="00FC79F5" w:rsidRDefault="00AB0EA9" w:rsidP="00FC79F5">
      <w:pPr>
        <w:spacing w:line="360" w:lineRule="auto"/>
        <w:jc w:val="both"/>
        <w:rPr>
          <w:rFonts w:cstheme="minorHAnsi"/>
        </w:rPr>
      </w:pPr>
      <w:r>
        <w:rPr>
          <w:rFonts w:cstheme="minorHAnsi"/>
        </w:rPr>
        <w:t xml:space="preserve">The CAG guidelines regarding the management of patient identifiable data are to be strictly adhered to; figure 1 illustrates how </w:t>
      </w:r>
      <w:r w:rsidR="00FC3FD3">
        <w:rPr>
          <w:rFonts w:cstheme="minorHAnsi"/>
        </w:rPr>
        <w:t xml:space="preserve">the datasets would be linked and anonymised by a trusted third party prior to being released to the Chief Investigator. </w:t>
      </w:r>
    </w:p>
    <w:p w14:paraId="7F23760B" w14:textId="7C897655" w:rsidR="00171D10" w:rsidRPr="00F1212E" w:rsidRDefault="001D49BD" w:rsidP="00F1212E">
      <w:pPr>
        <w:spacing w:line="360" w:lineRule="auto"/>
        <w:jc w:val="both"/>
      </w:pPr>
      <w:r>
        <w:rPr>
          <w:rFonts w:cstheme="minorHAnsi"/>
        </w:rPr>
        <w:t xml:space="preserve">Even if patient data </w:t>
      </w:r>
      <w:r w:rsidR="00DD4B08">
        <w:rPr>
          <w:rFonts w:cstheme="minorHAnsi"/>
        </w:rPr>
        <w:t>are</w:t>
      </w:r>
      <w:r>
        <w:rPr>
          <w:rFonts w:cstheme="minorHAnsi"/>
        </w:rPr>
        <w:t xml:space="preserve"> anonymised, confidentiality is</w:t>
      </w:r>
      <w:r w:rsidR="00706DAA" w:rsidRPr="00FC79F5">
        <w:rPr>
          <w:rFonts w:cstheme="minorHAnsi"/>
        </w:rPr>
        <w:t xml:space="preserve"> a specific consideration in terms of data </w:t>
      </w:r>
      <w:r w:rsidR="00171D10">
        <w:rPr>
          <w:rFonts w:cstheme="minorHAnsi"/>
        </w:rPr>
        <w:t>storage and transfer</w:t>
      </w:r>
      <w:r w:rsidR="00706DAA" w:rsidRPr="00FC79F5">
        <w:rPr>
          <w:rFonts w:cstheme="minorHAnsi"/>
        </w:rPr>
        <w:t xml:space="preserve">. All </w:t>
      </w:r>
      <w:r>
        <w:rPr>
          <w:rFonts w:cstheme="minorHAnsi"/>
        </w:rPr>
        <w:t xml:space="preserve">electronic and paper versions of </w:t>
      </w:r>
      <w:r w:rsidR="00706DAA" w:rsidRPr="00FC79F5">
        <w:rPr>
          <w:rFonts w:cstheme="minorHAnsi"/>
        </w:rPr>
        <w:t xml:space="preserve">information regarding the conduct of the study (applications, approvals and additional correspondence) </w:t>
      </w:r>
      <w:r>
        <w:rPr>
          <w:rFonts w:cstheme="minorHAnsi"/>
        </w:rPr>
        <w:t xml:space="preserve">will be kept on password protected computers and </w:t>
      </w:r>
      <w:r w:rsidR="00F1212E">
        <w:rPr>
          <w:rFonts w:cstheme="minorHAnsi"/>
        </w:rPr>
        <w:t xml:space="preserve">in </w:t>
      </w:r>
      <w:r>
        <w:rPr>
          <w:rFonts w:cstheme="minorHAnsi"/>
        </w:rPr>
        <w:t xml:space="preserve">locked cabinets, accessible only by the Chief Investigator and two supervisors. </w:t>
      </w:r>
      <w:r w:rsidR="00706DAA" w:rsidRPr="00FC79F5">
        <w:rPr>
          <w:rFonts w:cstheme="minorHAnsi"/>
        </w:rPr>
        <w:t xml:space="preserve"> The </w:t>
      </w:r>
      <w:r>
        <w:rPr>
          <w:rFonts w:cstheme="minorHAnsi"/>
        </w:rPr>
        <w:t>anonymised dataset would</w:t>
      </w:r>
      <w:r w:rsidR="00706DAA" w:rsidRPr="00FC79F5">
        <w:rPr>
          <w:rFonts w:cstheme="minorHAnsi"/>
        </w:rPr>
        <w:t xml:space="preserve"> be kept for a period of five years to allow it to be revisited and even mined should the opportunity of future research arise. </w:t>
      </w:r>
      <w:r w:rsidR="00171D10">
        <w:t>The original dataset with identifiers would be held by Information Services for ref</w:t>
      </w:r>
      <w:r w:rsidR="00224706">
        <w:t>erence. Data transfer to the HUTH NHS Trust</w:t>
      </w:r>
      <w:r w:rsidR="00171D10">
        <w:t xml:space="preserve"> Information Services will be via nhs.net accounts. The Information Services Team have been advised on the data management of this project by the Informa</w:t>
      </w:r>
      <w:r w:rsidR="00224706">
        <w:t>tion Governance Team also at HUTH</w:t>
      </w:r>
      <w:r w:rsidR="00171D10">
        <w:t xml:space="preserve"> NHS Trust, to ensure that the legal obligations around data transmission and storage are fully adhered to. </w:t>
      </w:r>
    </w:p>
    <w:p w14:paraId="4D415F79" w14:textId="77777777" w:rsidR="00224706" w:rsidRDefault="00224706" w:rsidP="002A6AFF">
      <w:pPr>
        <w:spacing w:line="360" w:lineRule="auto"/>
        <w:rPr>
          <w:b/>
          <w:i/>
          <w:iCs/>
        </w:rPr>
      </w:pPr>
    </w:p>
    <w:p w14:paraId="7FC23BB5" w14:textId="77777777" w:rsidR="00224706" w:rsidRDefault="00224706" w:rsidP="002A6AFF">
      <w:pPr>
        <w:spacing w:line="360" w:lineRule="auto"/>
        <w:rPr>
          <w:b/>
          <w:i/>
          <w:iCs/>
        </w:rPr>
      </w:pPr>
    </w:p>
    <w:p w14:paraId="26831554" w14:textId="5B0F9489" w:rsidR="002A6AFF" w:rsidRPr="006B5FCF" w:rsidRDefault="002A6AFF" w:rsidP="002A6AFF">
      <w:pPr>
        <w:spacing w:line="360" w:lineRule="auto"/>
        <w:rPr>
          <w:b/>
          <w:i/>
          <w:iCs/>
        </w:rPr>
      </w:pPr>
      <w:r w:rsidRPr="006B5FCF">
        <w:rPr>
          <w:b/>
          <w:i/>
          <w:iCs/>
        </w:rPr>
        <w:lastRenderedPageBreak/>
        <w:t>Organisations involved in the project</w:t>
      </w:r>
    </w:p>
    <w:p w14:paraId="0DD5FAE1" w14:textId="77777777" w:rsidR="002A6AFF" w:rsidRDefault="002A6AFF" w:rsidP="002A6AFF">
      <w:pPr>
        <w:spacing w:line="360" w:lineRule="auto"/>
        <w:jc w:val="both"/>
      </w:pPr>
      <w:r>
        <w:t>Based on the proposed plan, there are several organisations involved and therefore permissions will be requested from the following:</w:t>
      </w:r>
    </w:p>
    <w:p w14:paraId="65064887" w14:textId="67FEA02B" w:rsidR="002A6AFF" w:rsidRDefault="002A6AFF" w:rsidP="002A6AFF">
      <w:pPr>
        <w:spacing w:line="360" w:lineRule="auto"/>
        <w:jc w:val="both"/>
      </w:pPr>
      <w:r>
        <w:t xml:space="preserve">MSDS data – from the hosting organisations of Northern Lincolnshire and Goole (NLAG) NHS Foundation Trust, </w:t>
      </w:r>
      <w:bookmarkStart w:id="1" w:name="_Hlk517444634"/>
      <w:r>
        <w:t xml:space="preserve">York Teaching Hospital NHS Foundation Trust and Hull </w:t>
      </w:r>
      <w:r w:rsidR="00224706">
        <w:t>University Teaching Hospitals (HUTH</w:t>
      </w:r>
      <w:r>
        <w:t>) NHS Trust</w:t>
      </w:r>
      <w:bookmarkEnd w:id="1"/>
      <w:r>
        <w:t>.</w:t>
      </w:r>
    </w:p>
    <w:p w14:paraId="3D194520" w14:textId="585A5E0A" w:rsidR="002A6AFF" w:rsidRDefault="002A6AFF" w:rsidP="00AA1329">
      <w:pPr>
        <w:spacing w:line="360" w:lineRule="auto"/>
        <w:jc w:val="both"/>
      </w:pPr>
      <w:r>
        <w:t xml:space="preserve">Additional NNRD data – </w:t>
      </w:r>
      <w:r w:rsidR="00224706">
        <w:t>approval from Imperial College London, the custodians of this dataset, has been received.</w:t>
      </w:r>
    </w:p>
    <w:p w14:paraId="0D7DAD8D" w14:textId="28515994" w:rsidR="002A6AFF" w:rsidRDefault="002A6AFF" w:rsidP="002A6AFF">
      <w:pPr>
        <w:spacing w:line="360" w:lineRule="auto"/>
      </w:pPr>
      <w:r>
        <w:t>Immunisation data – there are four CHIS department</w:t>
      </w:r>
      <w:r w:rsidR="005E43F2">
        <w:t>s in the Humber Coast and Vale STP</w:t>
      </w:r>
      <w:r>
        <w:t xml:space="preserve"> region:</w:t>
      </w:r>
    </w:p>
    <w:tbl>
      <w:tblPr>
        <w:tblStyle w:val="TableGrid"/>
        <w:tblW w:w="0" w:type="auto"/>
        <w:tblInd w:w="137" w:type="dxa"/>
        <w:tblLook w:val="04A0" w:firstRow="1" w:lastRow="0" w:firstColumn="1" w:lastColumn="0" w:noHBand="0" w:noVBand="1"/>
      </w:tblPr>
      <w:tblGrid>
        <w:gridCol w:w="2117"/>
        <w:gridCol w:w="6246"/>
      </w:tblGrid>
      <w:tr w:rsidR="00AA1329" w14:paraId="78CEA160" w14:textId="77777777" w:rsidTr="00AA1329">
        <w:tc>
          <w:tcPr>
            <w:tcW w:w="2117" w:type="dxa"/>
          </w:tcPr>
          <w:p w14:paraId="2977B44B" w14:textId="77777777" w:rsidR="00AA1329" w:rsidRDefault="00AA1329" w:rsidP="005E77A3">
            <w:r>
              <w:t>CHIS</w:t>
            </w:r>
          </w:p>
          <w:p w14:paraId="704C7251" w14:textId="77777777" w:rsidR="00AA1329" w:rsidRDefault="00AA1329" w:rsidP="005E77A3"/>
        </w:tc>
        <w:tc>
          <w:tcPr>
            <w:tcW w:w="6246" w:type="dxa"/>
          </w:tcPr>
          <w:p w14:paraId="3FCA7BCC" w14:textId="77777777" w:rsidR="00AA1329" w:rsidRDefault="00AA1329" w:rsidP="005E77A3">
            <w:r>
              <w:t>Host Organisation (for R &amp; D purposes)</w:t>
            </w:r>
          </w:p>
        </w:tc>
      </w:tr>
      <w:tr w:rsidR="00AA1329" w14:paraId="0F0E8FAE" w14:textId="77777777" w:rsidTr="00AA1329">
        <w:tc>
          <w:tcPr>
            <w:tcW w:w="2117" w:type="dxa"/>
          </w:tcPr>
          <w:p w14:paraId="2A11CC86" w14:textId="77777777" w:rsidR="00AA1329" w:rsidRDefault="00AA1329" w:rsidP="005E77A3">
            <w:r>
              <w:t>1.North Yorks</w:t>
            </w:r>
          </w:p>
          <w:p w14:paraId="07DFF2D8" w14:textId="77777777" w:rsidR="00AA1329" w:rsidRDefault="00AA1329" w:rsidP="005E77A3"/>
        </w:tc>
        <w:tc>
          <w:tcPr>
            <w:tcW w:w="6246" w:type="dxa"/>
          </w:tcPr>
          <w:p w14:paraId="35740ADB" w14:textId="77777777" w:rsidR="00AA1329" w:rsidRDefault="00AA1329" w:rsidP="005E77A3">
            <w:r>
              <w:t>Harrogate and District NHS Foundation Trust</w:t>
            </w:r>
          </w:p>
        </w:tc>
      </w:tr>
      <w:tr w:rsidR="00AA1329" w14:paraId="3DE90963" w14:textId="77777777" w:rsidTr="00AA1329">
        <w:tc>
          <w:tcPr>
            <w:tcW w:w="2117" w:type="dxa"/>
          </w:tcPr>
          <w:p w14:paraId="3CAAC7B3" w14:textId="77777777" w:rsidR="00AA1329" w:rsidRDefault="00AA1329" w:rsidP="005E77A3">
            <w:r>
              <w:t>2.ERY &amp; Hull</w:t>
            </w:r>
          </w:p>
        </w:tc>
        <w:tc>
          <w:tcPr>
            <w:tcW w:w="6246" w:type="dxa"/>
          </w:tcPr>
          <w:p w14:paraId="7EBBEE6C" w14:textId="77777777" w:rsidR="00AA1329" w:rsidRDefault="00AA1329" w:rsidP="005E77A3">
            <w:r>
              <w:t>Humber NHS Foundation Trust</w:t>
            </w:r>
          </w:p>
        </w:tc>
      </w:tr>
      <w:tr w:rsidR="00AA1329" w14:paraId="4BDCBC63" w14:textId="77777777" w:rsidTr="00AA1329">
        <w:tc>
          <w:tcPr>
            <w:tcW w:w="2117" w:type="dxa"/>
          </w:tcPr>
          <w:p w14:paraId="3019FC73" w14:textId="77777777" w:rsidR="00AA1329" w:rsidRDefault="00AA1329" w:rsidP="005E77A3">
            <w:r>
              <w:t>3.North Lincs</w:t>
            </w:r>
          </w:p>
        </w:tc>
        <w:tc>
          <w:tcPr>
            <w:tcW w:w="6246" w:type="dxa"/>
          </w:tcPr>
          <w:p w14:paraId="6FF68750" w14:textId="77777777" w:rsidR="00AA1329" w:rsidRDefault="00AA1329" w:rsidP="005E77A3">
            <w:bookmarkStart w:id="2" w:name="_Hlk517444682"/>
            <w:r>
              <w:t>NLAG NHS Foundation Trust</w:t>
            </w:r>
            <w:bookmarkEnd w:id="2"/>
          </w:p>
        </w:tc>
      </w:tr>
      <w:tr w:rsidR="00AA1329" w14:paraId="562765E8" w14:textId="77777777" w:rsidTr="00AA1329">
        <w:tc>
          <w:tcPr>
            <w:tcW w:w="2117" w:type="dxa"/>
          </w:tcPr>
          <w:p w14:paraId="6E33F210" w14:textId="77777777" w:rsidR="00AA1329" w:rsidRDefault="00AA1329" w:rsidP="005E77A3">
            <w:r>
              <w:t>4.North East Lincs</w:t>
            </w:r>
          </w:p>
        </w:tc>
        <w:tc>
          <w:tcPr>
            <w:tcW w:w="6246" w:type="dxa"/>
          </w:tcPr>
          <w:p w14:paraId="59DA3052" w14:textId="77777777" w:rsidR="00AA1329" w:rsidRDefault="00AA1329" w:rsidP="005E77A3">
            <w:r>
              <w:t>North East Lincolnshire Council</w:t>
            </w:r>
          </w:p>
        </w:tc>
      </w:tr>
    </w:tbl>
    <w:p w14:paraId="6CC317CE" w14:textId="77777777" w:rsidR="006B5FCF" w:rsidRDefault="006B5FCF" w:rsidP="00AA1329">
      <w:pPr>
        <w:spacing w:line="360" w:lineRule="auto"/>
        <w:jc w:val="both"/>
      </w:pPr>
    </w:p>
    <w:p w14:paraId="74536DF5" w14:textId="00D3A5B0" w:rsidR="002A6AFF" w:rsidRPr="00AA1329" w:rsidRDefault="002A6AFF" w:rsidP="00AA1329">
      <w:pPr>
        <w:spacing w:line="360" w:lineRule="auto"/>
        <w:jc w:val="both"/>
      </w:pPr>
      <w:r>
        <w:t>Each of the CHIS host organisations will also be contacted for the required R &amp; D permissions.</w:t>
      </w:r>
    </w:p>
    <w:p w14:paraId="25BAF9A0" w14:textId="440E0E6A" w:rsidR="0001008D" w:rsidRPr="006B5FCF" w:rsidRDefault="007A475A" w:rsidP="006B5FCF">
      <w:pPr>
        <w:pStyle w:val="ListParagraph"/>
        <w:numPr>
          <w:ilvl w:val="0"/>
          <w:numId w:val="20"/>
        </w:numPr>
        <w:rPr>
          <w:b/>
          <w:bCs/>
          <w:u w:val="single"/>
        </w:rPr>
      </w:pPr>
      <w:r w:rsidRPr="006B5FCF">
        <w:rPr>
          <w:b/>
          <w:bCs/>
          <w:u w:val="single"/>
        </w:rPr>
        <w:t>Finance &amp; insurance</w:t>
      </w:r>
    </w:p>
    <w:p w14:paraId="25BAF9A1" w14:textId="1CD476CB" w:rsidR="007A475A" w:rsidRPr="003E1E72" w:rsidRDefault="005E43F2" w:rsidP="003E1E72">
      <w:pPr>
        <w:spacing w:line="360" w:lineRule="auto"/>
        <w:rPr>
          <w:bCs/>
        </w:rPr>
      </w:pPr>
      <w:r>
        <w:rPr>
          <w:bCs/>
        </w:rPr>
        <w:t xml:space="preserve">There are charges associated with data extraction from the NNRD </w:t>
      </w:r>
      <w:r w:rsidR="00494CC0">
        <w:rPr>
          <w:bCs/>
        </w:rPr>
        <w:t xml:space="preserve">(approx. £4326) </w:t>
      </w:r>
      <w:r>
        <w:rPr>
          <w:bCs/>
        </w:rPr>
        <w:t>and also for the data storage, linkage and anonymizat</w:t>
      </w:r>
      <w:r w:rsidR="00224706">
        <w:rPr>
          <w:bCs/>
        </w:rPr>
        <w:t>ion work to be undertaken by HUTH</w:t>
      </w:r>
      <w:r>
        <w:rPr>
          <w:bCs/>
        </w:rPr>
        <w:t xml:space="preserve"> Information Services</w:t>
      </w:r>
      <w:r w:rsidR="00494CC0">
        <w:rPr>
          <w:bCs/>
        </w:rPr>
        <w:t xml:space="preserve"> (approx. £1500)</w:t>
      </w:r>
      <w:r w:rsidR="003E1E72">
        <w:rPr>
          <w:bCs/>
        </w:rPr>
        <w:t xml:space="preserve">. </w:t>
      </w:r>
      <w:r w:rsidR="00494CC0">
        <w:rPr>
          <w:bCs/>
        </w:rPr>
        <w:t xml:space="preserve">Funding is being provided by the University of Hull. </w:t>
      </w:r>
      <w:r w:rsidR="003E1E72">
        <w:rPr>
          <w:bCs/>
        </w:rPr>
        <w:t>As sponsors, t</w:t>
      </w:r>
      <w:r w:rsidR="001C2BDA">
        <w:rPr>
          <w:bCs/>
        </w:rPr>
        <w:t xml:space="preserve">he University of Hull are </w:t>
      </w:r>
      <w:r w:rsidR="00494CC0">
        <w:rPr>
          <w:bCs/>
        </w:rPr>
        <w:t xml:space="preserve">also </w:t>
      </w:r>
      <w:r w:rsidR="003E1E72">
        <w:rPr>
          <w:bCs/>
        </w:rPr>
        <w:t>insurers for this project.</w:t>
      </w:r>
    </w:p>
    <w:p w14:paraId="25BAF9A2" w14:textId="5D682B66" w:rsidR="0001008D" w:rsidRPr="006B5FCF" w:rsidRDefault="007A475A" w:rsidP="006B5FCF">
      <w:pPr>
        <w:pStyle w:val="ListParagraph"/>
        <w:numPr>
          <w:ilvl w:val="0"/>
          <w:numId w:val="20"/>
        </w:numPr>
        <w:rPr>
          <w:b/>
          <w:bCs/>
          <w:u w:val="single"/>
        </w:rPr>
      </w:pPr>
      <w:r w:rsidRPr="006B5FCF">
        <w:rPr>
          <w:b/>
          <w:bCs/>
          <w:u w:val="single"/>
        </w:rPr>
        <w:t>D</w:t>
      </w:r>
      <w:r w:rsidR="0001008D" w:rsidRPr="006B5FCF">
        <w:rPr>
          <w:b/>
          <w:bCs/>
          <w:u w:val="single"/>
        </w:rPr>
        <w:t>issemination</w:t>
      </w:r>
    </w:p>
    <w:p w14:paraId="25BAF9A3" w14:textId="53C80307" w:rsidR="007A475A" w:rsidRPr="003E1E72" w:rsidRDefault="003E1E72" w:rsidP="003E1E72">
      <w:pPr>
        <w:spacing w:line="360" w:lineRule="auto"/>
        <w:jc w:val="both"/>
        <w:rPr>
          <w:bCs/>
        </w:rPr>
      </w:pPr>
      <w:r>
        <w:rPr>
          <w:bCs/>
        </w:rPr>
        <w:t>The findings of the study would be disseminated via publications in professional and academic journals, and presentation at conferences. The appropriate use of social media to disseminate these findings would also be used.</w:t>
      </w:r>
    </w:p>
    <w:p w14:paraId="628895FE" w14:textId="77777777" w:rsidR="006346E4" w:rsidRDefault="006346E4" w:rsidP="00905952">
      <w:pPr>
        <w:rPr>
          <w:b/>
          <w:bCs/>
          <w:u w:val="single"/>
        </w:rPr>
      </w:pPr>
    </w:p>
    <w:p w14:paraId="4DB09CC3" w14:textId="77777777" w:rsidR="00B47B7F" w:rsidRDefault="00B47B7F" w:rsidP="00905952">
      <w:pPr>
        <w:rPr>
          <w:b/>
          <w:bCs/>
          <w:u w:val="single"/>
        </w:rPr>
      </w:pPr>
    </w:p>
    <w:p w14:paraId="40C70521" w14:textId="77777777" w:rsidR="00482F8F" w:rsidRDefault="00482F8F" w:rsidP="00905952">
      <w:pPr>
        <w:rPr>
          <w:b/>
          <w:bCs/>
          <w:u w:val="single"/>
        </w:rPr>
      </w:pPr>
    </w:p>
    <w:p w14:paraId="2E1C951C" w14:textId="77777777" w:rsidR="00482F8F" w:rsidRDefault="00482F8F" w:rsidP="00905952">
      <w:pPr>
        <w:rPr>
          <w:b/>
          <w:bCs/>
          <w:u w:val="single"/>
        </w:rPr>
      </w:pPr>
    </w:p>
    <w:p w14:paraId="189AF192" w14:textId="77777777" w:rsidR="00224706" w:rsidRDefault="00224706" w:rsidP="00F1212E">
      <w:pPr>
        <w:rPr>
          <w:b/>
          <w:bCs/>
          <w:u w:val="single"/>
        </w:rPr>
      </w:pPr>
    </w:p>
    <w:p w14:paraId="25BAF9A4" w14:textId="1C3782A0" w:rsidR="0001008D" w:rsidRDefault="003E1E72" w:rsidP="00F1212E">
      <w:pPr>
        <w:rPr>
          <w:b/>
          <w:bCs/>
          <w:u w:val="single"/>
        </w:rPr>
      </w:pPr>
      <w:r w:rsidRPr="00F1212E">
        <w:rPr>
          <w:b/>
          <w:bCs/>
          <w:u w:val="single"/>
        </w:rPr>
        <w:lastRenderedPageBreak/>
        <w:t>R</w:t>
      </w:r>
      <w:r w:rsidR="0001008D" w:rsidRPr="00F1212E">
        <w:rPr>
          <w:b/>
          <w:bCs/>
          <w:u w:val="single"/>
        </w:rPr>
        <w:t>eferences</w:t>
      </w:r>
      <w:r w:rsidR="00AA1329">
        <w:rPr>
          <w:b/>
          <w:bCs/>
          <w:u w:val="single"/>
        </w:rPr>
        <w:t xml:space="preserve"> </w:t>
      </w:r>
    </w:p>
    <w:p w14:paraId="78830CA9" w14:textId="509803BB" w:rsidR="00DE55EE" w:rsidRPr="006346E4" w:rsidRDefault="00DE55EE" w:rsidP="00DE55EE">
      <w:pPr>
        <w:rPr>
          <w:rFonts w:cstheme="minorHAnsi"/>
        </w:rPr>
      </w:pPr>
      <w:r w:rsidRPr="006346E4">
        <w:rPr>
          <w:rFonts w:cstheme="minorHAnsi"/>
        </w:rPr>
        <w:t xml:space="preserve">American Academy of Pediatrics (2015) </w:t>
      </w:r>
      <w:r w:rsidRPr="006346E4">
        <w:rPr>
          <w:rFonts w:cstheme="minorHAnsi"/>
          <w:i/>
          <w:iCs/>
        </w:rPr>
        <w:t xml:space="preserve">Red Book Online: Immunization in Preterm and Low Birth Weight Infants. </w:t>
      </w:r>
      <w:r w:rsidRPr="006346E4">
        <w:rPr>
          <w:rFonts w:cstheme="minorHAnsi"/>
        </w:rPr>
        <w:t>Available online: (</w:t>
      </w:r>
      <w:hyperlink r:id="rId15" w:history="1">
        <w:r w:rsidRPr="006346E4">
          <w:rPr>
            <w:rFonts w:cstheme="minorHAnsi"/>
            <w:color w:val="0563C1" w:themeColor="hyperlink"/>
            <w:u w:val="single"/>
          </w:rPr>
          <w:t>http://redbook.solutions.aap.org/chapter.aspx?sectionId=88187007&amp;bookId=1484&amp;resultClick=1</w:t>
        </w:r>
      </w:hyperlink>
      <w:r w:rsidR="000D71F1">
        <w:rPr>
          <w:rFonts w:cstheme="minorHAnsi"/>
        </w:rPr>
        <w:t xml:space="preserve"> [Accessed 07/03/2018</w:t>
      </w:r>
      <w:r w:rsidRPr="006346E4">
        <w:rPr>
          <w:rFonts w:cstheme="minorHAnsi"/>
        </w:rPr>
        <w:t>].</w:t>
      </w:r>
    </w:p>
    <w:p w14:paraId="5689979E" w14:textId="67276C5A" w:rsidR="00DE55EE" w:rsidRPr="006346E4" w:rsidRDefault="00DE55EE" w:rsidP="00DE55EE">
      <w:pPr>
        <w:rPr>
          <w:rFonts w:cstheme="minorHAnsi"/>
        </w:rPr>
      </w:pPr>
      <w:r w:rsidRPr="006346E4">
        <w:rPr>
          <w:rFonts w:cstheme="minorHAnsi"/>
        </w:rPr>
        <w:t xml:space="preserve">Australian Government (2015) </w:t>
      </w:r>
      <w:r w:rsidRPr="006346E4">
        <w:rPr>
          <w:rFonts w:cstheme="minorHAnsi"/>
          <w:i/>
          <w:iCs/>
        </w:rPr>
        <w:t xml:space="preserve">The Australian Immunisation Handbook; Groups with special vaccination requirements. </w:t>
      </w:r>
      <w:r w:rsidRPr="006346E4">
        <w:rPr>
          <w:rFonts w:cstheme="minorHAnsi"/>
        </w:rPr>
        <w:t xml:space="preserve">Available online: </w:t>
      </w:r>
      <w:hyperlink r:id="rId16" w:anchor="3-3-2" w:history="1">
        <w:r w:rsidRPr="006346E4">
          <w:rPr>
            <w:rFonts w:cstheme="minorHAnsi"/>
            <w:color w:val="0563C1" w:themeColor="hyperlink"/>
            <w:u w:val="single"/>
          </w:rPr>
          <w:t>http://www.immunise.health.gov.au/internet/immunise/publishing.nsf/Content/Handbook10-home~handbook10part3~handbook10-3-3#3-3-2</w:t>
        </w:r>
      </w:hyperlink>
      <w:r w:rsidR="000D71F1">
        <w:rPr>
          <w:rFonts w:cstheme="minorHAnsi"/>
        </w:rPr>
        <w:t xml:space="preserve"> [Accessed 07/03/2018</w:t>
      </w:r>
      <w:r w:rsidRPr="006346E4">
        <w:rPr>
          <w:rFonts w:cstheme="minorHAnsi"/>
        </w:rPr>
        <w:t>].</w:t>
      </w:r>
    </w:p>
    <w:p w14:paraId="778A7BB6" w14:textId="77777777" w:rsidR="00DE55EE" w:rsidRDefault="00DE55EE" w:rsidP="00DE55EE">
      <w:pPr>
        <w:rPr>
          <w:rFonts w:cstheme="minorHAnsi"/>
        </w:rPr>
      </w:pPr>
      <w:r w:rsidRPr="006346E4">
        <w:rPr>
          <w:rFonts w:cstheme="minorHAnsi"/>
        </w:rPr>
        <w:t xml:space="preserve">Gale, C &amp; Morris, I. (2016) The UK National Neonatal Research Database: using neonatal data for research, quality and more. </w:t>
      </w:r>
      <w:r w:rsidRPr="006346E4">
        <w:rPr>
          <w:rFonts w:cstheme="minorHAnsi"/>
          <w:i/>
        </w:rPr>
        <w:t xml:space="preserve">Archives of Disease in Childhood Practice Edition. </w:t>
      </w:r>
      <w:r w:rsidRPr="006346E4">
        <w:rPr>
          <w:rFonts w:cstheme="minorHAnsi"/>
        </w:rPr>
        <w:t>0, 1-3. doi:10.1136/archdischild-2015-309928.</w:t>
      </w:r>
    </w:p>
    <w:p w14:paraId="271DDFF4" w14:textId="77777777" w:rsidR="00F1212E" w:rsidRDefault="00F1212E" w:rsidP="00F1212E">
      <w:pPr>
        <w:spacing w:line="240" w:lineRule="auto"/>
      </w:pPr>
      <w:r>
        <w:t xml:space="preserve">National Institute for Health and Care Excellence (2015) </w:t>
      </w:r>
      <w:r>
        <w:rPr>
          <w:i/>
        </w:rPr>
        <w:t xml:space="preserve">Preterm labour and birth. </w:t>
      </w:r>
      <w:r>
        <w:t>Retrieved from:</w:t>
      </w:r>
    </w:p>
    <w:p w14:paraId="40256371" w14:textId="77777777" w:rsidR="00F1212E" w:rsidRDefault="003914FD" w:rsidP="00F1212E">
      <w:pPr>
        <w:spacing w:line="240" w:lineRule="auto"/>
      </w:pPr>
      <w:hyperlink r:id="rId17" w:history="1">
        <w:r w:rsidR="00F1212E" w:rsidRPr="004D73DE">
          <w:rPr>
            <w:rStyle w:val="Hyperlink"/>
          </w:rPr>
          <w:t>https://www.nice.org.uk/guidance/ng25/chapter/context</w:t>
        </w:r>
      </w:hyperlink>
      <w:r w:rsidR="00F1212E">
        <w:t xml:space="preserve"> [Accessed 02.07.2018]</w:t>
      </w:r>
    </w:p>
    <w:p w14:paraId="72CC6A7B" w14:textId="56B7712B" w:rsidR="00F1212E" w:rsidRPr="00F1212E" w:rsidRDefault="00F1212E" w:rsidP="00F1212E">
      <w:pPr>
        <w:spacing w:line="240" w:lineRule="auto"/>
      </w:pPr>
      <w:r w:rsidRPr="00C22352">
        <w:t>Office for National Statistics</w:t>
      </w:r>
      <w:r>
        <w:t xml:space="preserve"> (2017) </w:t>
      </w:r>
      <w:r w:rsidRPr="00C22352">
        <w:rPr>
          <w:i/>
        </w:rPr>
        <w:t xml:space="preserve">Births in England and Wales: 2016. </w:t>
      </w:r>
      <w:r>
        <w:t xml:space="preserve">Retrieved from: </w:t>
      </w:r>
      <w:hyperlink r:id="rId18" w:history="1">
        <w:r w:rsidRPr="004D73DE">
          <w:rPr>
            <w:rStyle w:val="Hyperlink"/>
          </w:rPr>
          <w:t>https://www.ons.gov.uk/peoplepopulationandcommunity/birthsdeathsandmarriages/livebirths/bulletins/birthsummarytablesenglandandwales/2016</w:t>
        </w:r>
      </w:hyperlink>
      <w:r>
        <w:t xml:space="preserve"> </w:t>
      </w:r>
      <w:bookmarkStart w:id="3" w:name="_Hlk518298572"/>
      <w:r>
        <w:t>[Accessed 02.07.2018]</w:t>
      </w:r>
      <w:bookmarkEnd w:id="3"/>
    </w:p>
    <w:p w14:paraId="6F122742" w14:textId="6D489B44" w:rsidR="00DE55EE" w:rsidRPr="006346E4" w:rsidRDefault="000D71F1" w:rsidP="00DE55EE">
      <w:pPr>
        <w:rPr>
          <w:rFonts w:cstheme="minorHAnsi"/>
          <w:i/>
          <w:iCs/>
          <w:color w:val="00B050"/>
        </w:rPr>
      </w:pPr>
      <w:r>
        <w:rPr>
          <w:rFonts w:cstheme="minorHAnsi"/>
          <w:iCs/>
        </w:rPr>
        <w:t>Public Health England (2017</w:t>
      </w:r>
      <w:r w:rsidR="00DE55EE" w:rsidRPr="006346E4">
        <w:rPr>
          <w:rFonts w:cstheme="minorHAnsi"/>
          <w:iCs/>
        </w:rPr>
        <w:t>)</w:t>
      </w:r>
      <w:r w:rsidR="00DE55EE" w:rsidRPr="006346E4">
        <w:rPr>
          <w:rFonts w:cstheme="minorHAnsi"/>
          <w:i/>
          <w:iCs/>
        </w:rPr>
        <w:t xml:space="preserve"> Health Pr</w:t>
      </w:r>
      <w:r>
        <w:rPr>
          <w:rFonts w:cstheme="minorHAnsi"/>
          <w:i/>
          <w:iCs/>
        </w:rPr>
        <w:t>otection Report Vol 11, No. 45</w:t>
      </w:r>
      <w:r w:rsidR="00DE55EE" w:rsidRPr="006346E4">
        <w:rPr>
          <w:rFonts w:cstheme="minorHAnsi"/>
          <w:i/>
          <w:iCs/>
        </w:rPr>
        <w:t xml:space="preserve"> </w:t>
      </w:r>
      <w:r w:rsidR="00DE55EE" w:rsidRPr="006346E4">
        <w:rPr>
          <w:rFonts w:cstheme="minorHAnsi"/>
          <w:iCs/>
        </w:rPr>
        <w:t xml:space="preserve">Available online: </w:t>
      </w:r>
      <w:hyperlink r:id="rId19" w:history="1">
        <w:r w:rsidRPr="00953CB0">
          <w:rPr>
            <w:rStyle w:val="Hyperlink"/>
            <w:rFonts w:cstheme="minorHAnsi"/>
          </w:rPr>
          <w:t>https://www.gov.uk/government/uploads/system/uploads/attachment_data/file/666735/hpr4517_cover.pdf</w:t>
        </w:r>
      </w:hyperlink>
      <w:r>
        <w:rPr>
          <w:rFonts w:cstheme="minorHAnsi"/>
          <w:i/>
          <w:iCs/>
          <w:color w:val="00B050"/>
        </w:rPr>
        <w:t xml:space="preserve"> </w:t>
      </w:r>
      <w:r w:rsidR="00DE55EE" w:rsidRPr="006346E4">
        <w:rPr>
          <w:rFonts w:cstheme="minorHAnsi"/>
          <w:iCs/>
        </w:rPr>
        <w:t xml:space="preserve">[Accessed </w:t>
      </w:r>
      <w:r>
        <w:rPr>
          <w:rFonts w:cstheme="minorHAnsi"/>
          <w:iCs/>
        </w:rPr>
        <w:t>07/03/2018</w:t>
      </w:r>
      <w:r w:rsidR="00DE55EE" w:rsidRPr="006346E4">
        <w:rPr>
          <w:rFonts w:cstheme="minorHAnsi"/>
          <w:iCs/>
        </w:rPr>
        <w:t>].</w:t>
      </w:r>
    </w:p>
    <w:p w14:paraId="26790B36" w14:textId="69CAF2FE" w:rsidR="00DE55EE" w:rsidRPr="006346E4" w:rsidRDefault="00DE55EE" w:rsidP="00DE55EE">
      <w:pPr>
        <w:rPr>
          <w:rFonts w:cstheme="minorHAnsi"/>
        </w:rPr>
      </w:pPr>
      <w:r w:rsidRPr="006346E4">
        <w:rPr>
          <w:rFonts w:cstheme="minorHAnsi"/>
        </w:rPr>
        <w:t xml:space="preserve">Public Health Agency of Canada (2015) </w:t>
      </w:r>
      <w:r w:rsidRPr="006346E4">
        <w:rPr>
          <w:rFonts w:cstheme="minorHAnsi"/>
          <w:i/>
          <w:iCs/>
        </w:rPr>
        <w:t>Canadian Immunization Guide: Vaccination of Specific Populations, Immunization of infants born prematurely</w:t>
      </w:r>
      <w:r w:rsidRPr="006346E4">
        <w:rPr>
          <w:rFonts w:cstheme="minorHAnsi"/>
        </w:rPr>
        <w:t xml:space="preserve">. Available online: </w:t>
      </w:r>
      <w:hyperlink r:id="rId20" w:history="1">
        <w:r w:rsidRPr="006346E4">
          <w:rPr>
            <w:rStyle w:val="Hyperlink"/>
            <w:rFonts w:cstheme="minorHAnsi"/>
          </w:rPr>
          <w:t>http://www.phac-aspc.gc.ca/publicat/cig-gci/p03-05-eng.php</w:t>
        </w:r>
      </w:hyperlink>
      <w:r w:rsidR="000D71F1">
        <w:rPr>
          <w:rFonts w:cstheme="minorHAnsi"/>
        </w:rPr>
        <w:t xml:space="preserve"> [Accessed 07/03/2018</w:t>
      </w:r>
      <w:r w:rsidRPr="006346E4">
        <w:rPr>
          <w:rFonts w:cstheme="minorHAnsi"/>
        </w:rPr>
        <w:t>].</w:t>
      </w:r>
    </w:p>
    <w:p w14:paraId="3E448A6B" w14:textId="77777777" w:rsidR="00DE55EE" w:rsidRPr="006346E4" w:rsidRDefault="00DE55EE" w:rsidP="00DE55EE">
      <w:pPr>
        <w:rPr>
          <w:rFonts w:cstheme="minorHAnsi"/>
        </w:rPr>
      </w:pPr>
      <w:r w:rsidRPr="006346E4">
        <w:rPr>
          <w:rFonts w:cstheme="minorHAnsi"/>
        </w:rPr>
        <w:t xml:space="preserve">Salisbury, D. &amp; Ramsay, M. (eds) (2013a) </w:t>
      </w:r>
      <w:r w:rsidRPr="006346E4">
        <w:rPr>
          <w:rFonts w:cstheme="minorHAnsi"/>
          <w:i/>
          <w:iCs/>
        </w:rPr>
        <w:t xml:space="preserve">Immunisation Against Infectious Disease (The Green Book). </w:t>
      </w:r>
      <w:r w:rsidRPr="006346E4">
        <w:rPr>
          <w:rFonts w:cstheme="minorHAnsi"/>
        </w:rPr>
        <w:t>London: Public Health England.</w:t>
      </w:r>
    </w:p>
    <w:p w14:paraId="667EEFCE" w14:textId="35132A77" w:rsidR="00DE55EE" w:rsidRPr="006346E4" w:rsidRDefault="00DE55EE" w:rsidP="00DE55EE">
      <w:pPr>
        <w:rPr>
          <w:rFonts w:cstheme="minorHAnsi"/>
        </w:rPr>
      </w:pPr>
      <w:r w:rsidRPr="006346E4">
        <w:rPr>
          <w:rFonts w:cstheme="minorHAnsi"/>
        </w:rPr>
        <w:t xml:space="preserve">Salisbury, D. &amp; Ramsay, M. (eds) (2013b) </w:t>
      </w:r>
      <w:r w:rsidRPr="006346E4">
        <w:rPr>
          <w:rFonts w:cstheme="minorHAnsi"/>
          <w:i/>
          <w:iCs/>
        </w:rPr>
        <w:t xml:space="preserve">Contraindications and special considerations: the green book chapter 6. </w:t>
      </w:r>
      <w:r w:rsidRPr="006346E4">
        <w:rPr>
          <w:rFonts w:cstheme="minorHAnsi"/>
        </w:rPr>
        <w:t xml:space="preserve">Available online: </w:t>
      </w:r>
      <w:hyperlink r:id="rId21" w:history="1">
        <w:r w:rsidRPr="006346E4">
          <w:rPr>
            <w:rFonts w:cstheme="minorHAnsi"/>
            <w:color w:val="0563C1" w:themeColor="hyperlink"/>
            <w:u w:val="single"/>
          </w:rPr>
          <w:t>https://www.gov.uk/government/uploads/system/uploads/attachment_data/file/147824/Green-Book-Chapter-6-v2_0.pdf</w:t>
        </w:r>
      </w:hyperlink>
      <w:r w:rsidR="000D71F1">
        <w:rPr>
          <w:rFonts w:cstheme="minorHAnsi"/>
        </w:rPr>
        <w:t xml:space="preserve"> [Accessed 07/03/2018</w:t>
      </w:r>
      <w:r w:rsidRPr="006346E4">
        <w:rPr>
          <w:rFonts w:cstheme="minorHAnsi"/>
        </w:rPr>
        <w:t>].</w:t>
      </w:r>
    </w:p>
    <w:p w14:paraId="2EC28FDF" w14:textId="3E4DA867" w:rsidR="00DE55EE" w:rsidRPr="000D71F1" w:rsidRDefault="00DE55EE" w:rsidP="00DE55EE">
      <w:pPr>
        <w:rPr>
          <w:rFonts w:cstheme="minorHAnsi"/>
          <w:b/>
          <w:bCs/>
        </w:rPr>
      </w:pPr>
      <w:r w:rsidRPr="006346E4">
        <w:rPr>
          <w:rFonts w:cstheme="minorHAnsi"/>
        </w:rPr>
        <w:t xml:space="preserve">Salisbury, D. &amp; Ramsay, M. (eds) (2013c) </w:t>
      </w:r>
      <w:r w:rsidRPr="006346E4">
        <w:rPr>
          <w:rFonts w:cstheme="minorHAnsi"/>
          <w:i/>
          <w:iCs/>
        </w:rPr>
        <w:t xml:space="preserve">Immunisation of individuals with underlying medical conditions: the green book chapter 7. </w:t>
      </w:r>
      <w:r w:rsidRPr="006346E4">
        <w:rPr>
          <w:rFonts w:cstheme="minorHAnsi"/>
        </w:rPr>
        <w:t xml:space="preserve">Available online: </w:t>
      </w:r>
      <w:hyperlink r:id="rId22" w:history="1">
        <w:r w:rsidR="000D71F1" w:rsidRPr="00953CB0">
          <w:rPr>
            <w:rStyle w:val="Hyperlink"/>
            <w:rFonts w:cstheme="minorHAnsi"/>
          </w:rPr>
          <w:t>https://www.gov.uk/government/uploads/system/uploads/attachment_data/file/309218/Green_Book_Chapter_7_v1_3.pdf</w:t>
        </w:r>
      </w:hyperlink>
      <w:r w:rsidR="000D71F1">
        <w:rPr>
          <w:rFonts w:cstheme="minorHAnsi"/>
          <w:color w:val="0563C1" w:themeColor="hyperlink"/>
          <w:u w:val="single"/>
        </w:rPr>
        <w:t xml:space="preserve"> </w:t>
      </w:r>
      <w:r w:rsidR="000D71F1" w:rsidRPr="000D71F1">
        <w:rPr>
          <w:rFonts w:cstheme="minorHAnsi"/>
        </w:rPr>
        <w:t>[Accessed 07/03/2018].</w:t>
      </w:r>
    </w:p>
    <w:p w14:paraId="79163646" w14:textId="77777777" w:rsidR="00DE55EE" w:rsidRPr="006346E4" w:rsidRDefault="00DE55EE" w:rsidP="00DE55EE">
      <w:r>
        <w:t xml:space="preserve">Sisson, H. (2017) Vaccination timeliness in preterm infants: An integrative review of the literature. </w:t>
      </w:r>
      <w:r>
        <w:rPr>
          <w:i/>
        </w:rPr>
        <w:t xml:space="preserve">Journal of Clinical Nursing. </w:t>
      </w:r>
      <w:r>
        <w:t>26(23-24), 4094-4104.</w:t>
      </w:r>
    </w:p>
    <w:p w14:paraId="75E5C423" w14:textId="06F46040" w:rsidR="00DE55EE" w:rsidRDefault="00DE55EE" w:rsidP="00653358">
      <w:pPr>
        <w:rPr>
          <w:rFonts w:cstheme="minorHAnsi"/>
        </w:rPr>
      </w:pPr>
      <w:r w:rsidRPr="006346E4">
        <w:rPr>
          <w:rFonts w:cstheme="minorHAnsi"/>
        </w:rPr>
        <w:t xml:space="preserve">Vohr, B. &amp; Oh, W. (1986) Age of Diphtheria, Tetanus, and Pertussis Immunization of Special Care Nursery Graduates. </w:t>
      </w:r>
      <w:r w:rsidRPr="006346E4">
        <w:rPr>
          <w:rFonts w:cstheme="minorHAnsi"/>
          <w:i/>
          <w:iCs/>
        </w:rPr>
        <w:t xml:space="preserve">Pediatrics, </w:t>
      </w:r>
      <w:r w:rsidRPr="006346E4">
        <w:rPr>
          <w:rFonts w:cstheme="minorHAnsi"/>
        </w:rPr>
        <w:t>77(4), 569-571.</w:t>
      </w:r>
    </w:p>
    <w:p w14:paraId="2AD5F09F" w14:textId="0BCA95E9" w:rsidR="00653358" w:rsidRDefault="00653358" w:rsidP="00653358">
      <w:pPr>
        <w:rPr>
          <w:rFonts w:cstheme="minorHAnsi"/>
        </w:rPr>
      </w:pPr>
      <w:r w:rsidRPr="006346E4">
        <w:rPr>
          <w:rFonts w:cstheme="minorHAnsi"/>
        </w:rPr>
        <w:t xml:space="preserve">Wariyar, U., Richmond, S. &amp; Morrell, P. (1989) Immunisation state of children born before term in the Northern region. </w:t>
      </w:r>
      <w:r w:rsidRPr="006346E4">
        <w:rPr>
          <w:rFonts w:cstheme="minorHAnsi"/>
          <w:i/>
          <w:iCs/>
        </w:rPr>
        <w:t xml:space="preserve">British Medical Journal, </w:t>
      </w:r>
      <w:r w:rsidRPr="006346E4">
        <w:rPr>
          <w:rFonts w:cstheme="minorHAnsi"/>
        </w:rPr>
        <w:t>299, 1013-1014.</w:t>
      </w:r>
    </w:p>
    <w:p w14:paraId="6999BBCF" w14:textId="623FCF18" w:rsidR="00D62439" w:rsidRPr="006346E4" w:rsidRDefault="00D62439" w:rsidP="00653358">
      <w:pPr>
        <w:rPr>
          <w:rFonts w:cstheme="minorHAnsi"/>
        </w:rPr>
      </w:pPr>
      <w:r>
        <w:rPr>
          <w:rFonts w:cstheme="minorHAnsi"/>
        </w:rPr>
        <w:lastRenderedPageBreak/>
        <w:t xml:space="preserve">WHO (2017) </w:t>
      </w:r>
      <w:r>
        <w:rPr>
          <w:rFonts w:cstheme="minorHAnsi"/>
          <w:i/>
          <w:iCs/>
        </w:rPr>
        <w:t xml:space="preserve">Preterm Birth. </w:t>
      </w:r>
      <w:r>
        <w:rPr>
          <w:rFonts w:cstheme="minorHAnsi"/>
        </w:rPr>
        <w:t xml:space="preserve">Available online: </w:t>
      </w:r>
      <w:hyperlink r:id="rId23" w:history="1">
        <w:r w:rsidRPr="00CB5FA5">
          <w:rPr>
            <w:rStyle w:val="Hyperlink"/>
            <w:rFonts w:cstheme="minorHAnsi"/>
          </w:rPr>
          <w:t>http://www.who.int/mediacentre/factsheets/fs363/en/</w:t>
        </w:r>
      </w:hyperlink>
      <w:r>
        <w:rPr>
          <w:rFonts w:cstheme="minorHAnsi"/>
        </w:rPr>
        <w:t xml:space="preserve"> [Accessed 27/03/2018]. </w:t>
      </w:r>
    </w:p>
    <w:p w14:paraId="3ED274C1" w14:textId="789F132F" w:rsidR="00653358" w:rsidRPr="00DE55EE" w:rsidRDefault="006346E4" w:rsidP="00905952">
      <w:pPr>
        <w:contextualSpacing/>
        <w:rPr>
          <w:rFonts w:cstheme="minorHAnsi"/>
        </w:rPr>
      </w:pPr>
      <w:r w:rsidRPr="006346E4">
        <w:rPr>
          <w:rFonts w:cstheme="minorHAnsi"/>
        </w:rPr>
        <w:t xml:space="preserve">WHO (2016) </w:t>
      </w:r>
      <w:r w:rsidRPr="006346E4">
        <w:rPr>
          <w:rFonts w:cstheme="minorHAnsi"/>
          <w:i/>
          <w:iCs/>
        </w:rPr>
        <w:t>Immunisation Coverage.</w:t>
      </w:r>
      <w:r w:rsidRPr="006346E4">
        <w:rPr>
          <w:rFonts w:cstheme="minorHAnsi"/>
        </w:rPr>
        <w:t xml:space="preserve"> Available online: </w:t>
      </w:r>
      <w:hyperlink r:id="rId24" w:history="1">
        <w:r w:rsidRPr="006346E4">
          <w:rPr>
            <w:rFonts w:cstheme="minorHAnsi"/>
            <w:color w:val="0563C1" w:themeColor="hyperlink"/>
            <w:u w:val="single"/>
          </w:rPr>
          <w:t>http://www.who.int/mediacentre/factsheets/fs378/en/</w:t>
        </w:r>
      </w:hyperlink>
      <w:r w:rsidR="000D71F1">
        <w:rPr>
          <w:rFonts w:cstheme="minorHAnsi"/>
        </w:rPr>
        <w:t xml:space="preserve"> [Accessed 07/03/2018</w:t>
      </w:r>
      <w:r w:rsidRPr="006346E4">
        <w:rPr>
          <w:rFonts w:cstheme="minorHAnsi"/>
        </w:rPr>
        <w:t>].</w:t>
      </w:r>
    </w:p>
    <w:p w14:paraId="52970AB8" w14:textId="68CE470F" w:rsidR="006346E4" w:rsidRPr="006346E4" w:rsidRDefault="006346E4" w:rsidP="006346E4">
      <w:pPr>
        <w:spacing w:before="100" w:beforeAutospacing="1" w:after="100" w:afterAutospacing="1" w:line="240" w:lineRule="auto"/>
        <w:rPr>
          <w:rFonts w:cstheme="minorHAnsi"/>
          <w:lang w:eastAsia="en-US"/>
        </w:rPr>
      </w:pPr>
      <w:r w:rsidRPr="006346E4">
        <w:rPr>
          <w:rFonts w:cstheme="minorHAnsi"/>
          <w:lang w:eastAsia="en-US"/>
        </w:rPr>
        <w:t xml:space="preserve">UNICEF (2016) </w:t>
      </w:r>
      <w:r w:rsidRPr="006346E4">
        <w:rPr>
          <w:rFonts w:cstheme="minorHAnsi"/>
          <w:i/>
          <w:iCs/>
          <w:lang w:eastAsia="en-US"/>
        </w:rPr>
        <w:t xml:space="preserve">Protecting Children from Disease. </w:t>
      </w:r>
      <w:r w:rsidRPr="006346E4">
        <w:rPr>
          <w:rFonts w:cstheme="minorHAnsi"/>
          <w:lang w:eastAsia="en-US"/>
        </w:rPr>
        <w:t xml:space="preserve">Available at: </w:t>
      </w:r>
      <w:hyperlink r:id="rId25" w:history="1">
        <w:r w:rsidRPr="006346E4">
          <w:rPr>
            <w:rFonts w:cstheme="minorHAnsi"/>
            <w:color w:val="0563C1" w:themeColor="hyperlink"/>
            <w:u w:val="single"/>
            <w:lang w:eastAsia="en-US"/>
          </w:rPr>
          <w:t>http://www.unicef.org.uk/UNICEFs-Work/What-we-do/Disease/</w:t>
        </w:r>
      </w:hyperlink>
      <w:r w:rsidR="000D71F1">
        <w:rPr>
          <w:rFonts w:cstheme="minorHAnsi"/>
          <w:lang w:eastAsia="en-US"/>
        </w:rPr>
        <w:t xml:space="preserve"> [Accessed 07/03/2018</w:t>
      </w:r>
      <w:r w:rsidRPr="006346E4">
        <w:rPr>
          <w:rFonts w:cstheme="minorHAnsi"/>
          <w:lang w:eastAsia="en-US"/>
        </w:rPr>
        <w:t>].</w:t>
      </w:r>
    </w:p>
    <w:p w14:paraId="25BAF9A7" w14:textId="5E8F3AE7" w:rsidR="007A475A" w:rsidRDefault="007A475A" w:rsidP="007A475A"/>
    <w:sectPr w:rsidR="007A475A" w:rsidSect="00CC4BCE">
      <w:footerReference w:type="default" r:id="rId26"/>
      <w:footerReference w:type="first" r:id="rId2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3403B" w14:textId="77777777" w:rsidR="006F065E" w:rsidRDefault="006F065E" w:rsidP="00B47B7F">
      <w:pPr>
        <w:spacing w:after="0" w:line="240" w:lineRule="auto"/>
      </w:pPr>
      <w:r>
        <w:separator/>
      </w:r>
    </w:p>
  </w:endnote>
  <w:endnote w:type="continuationSeparator" w:id="0">
    <w:p w14:paraId="76E2AB4D" w14:textId="77777777" w:rsidR="006F065E" w:rsidRDefault="006F065E" w:rsidP="00B47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497A1" w14:textId="16A34B29" w:rsidR="008012FB" w:rsidRPr="008012FB" w:rsidRDefault="008012FB">
    <w:pPr>
      <w:pStyle w:val="Footer"/>
      <w:rPr>
        <w:i/>
        <w:sz w:val="16"/>
        <w:szCs w:val="16"/>
      </w:rPr>
    </w:pPr>
    <w:r w:rsidRPr="008012FB">
      <w:rPr>
        <w:i/>
        <w:sz w:val="16"/>
        <w:szCs w:val="16"/>
      </w:rPr>
      <w:t xml:space="preserve">Vaccination timeliness in preterm infants </w:t>
    </w:r>
    <w:r w:rsidR="003914FD">
      <w:rPr>
        <w:i/>
        <w:sz w:val="16"/>
        <w:szCs w:val="16"/>
      </w:rPr>
      <w:t>Version 3 23/07/2019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4195D" w14:textId="77777777" w:rsidR="00CC4BCE" w:rsidRDefault="00CC4B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397938"/>
      <w:docPartObj>
        <w:docPartGallery w:val="Page Numbers (Bottom of Page)"/>
        <w:docPartUnique/>
      </w:docPartObj>
    </w:sdtPr>
    <w:sdtEndPr>
      <w:rPr>
        <w:noProof/>
      </w:rPr>
    </w:sdtEndPr>
    <w:sdtContent>
      <w:p w14:paraId="13834FD4" w14:textId="677A3B9B" w:rsidR="006620B4" w:rsidRDefault="006620B4">
        <w:pPr>
          <w:pStyle w:val="Footer"/>
          <w:jc w:val="center"/>
        </w:pPr>
        <w:r>
          <w:fldChar w:fldCharType="begin"/>
        </w:r>
        <w:r>
          <w:instrText xml:space="preserve"> PAGE   \* MERGEFORMAT </w:instrText>
        </w:r>
        <w:r>
          <w:fldChar w:fldCharType="separate"/>
        </w:r>
        <w:r w:rsidR="003914FD">
          <w:rPr>
            <w:noProof/>
          </w:rPr>
          <w:t>2</w:t>
        </w:r>
        <w:r>
          <w:rPr>
            <w:noProof/>
          </w:rPr>
          <w:fldChar w:fldCharType="end"/>
        </w:r>
      </w:p>
    </w:sdtContent>
  </w:sdt>
  <w:p w14:paraId="7CEBF661" w14:textId="77777777" w:rsidR="006620B4" w:rsidRDefault="006620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916598"/>
      <w:docPartObj>
        <w:docPartGallery w:val="Page Numbers (Bottom of Page)"/>
        <w:docPartUnique/>
      </w:docPartObj>
    </w:sdtPr>
    <w:sdtEndPr>
      <w:rPr>
        <w:noProof/>
      </w:rPr>
    </w:sdtEndPr>
    <w:sdtContent>
      <w:p w14:paraId="10D20DB3" w14:textId="3FD64D93" w:rsidR="00420634" w:rsidRDefault="006620B4" w:rsidP="006620B4">
        <w:pPr>
          <w:pStyle w:val="Footer"/>
          <w:jc w:val="center"/>
        </w:pPr>
        <w:r>
          <w:fldChar w:fldCharType="begin"/>
        </w:r>
        <w:r>
          <w:instrText xml:space="preserve"> PAGE  \* Arabic  \* MERGEFORMAT </w:instrText>
        </w:r>
        <w:r>
          <w:fldChar w:fldCharType="separate"/>
        </w:r>
        <w:r w:rsidR="003914FD">
          <w:rPr>
            <w:noProof/>
          </w:rPr>
          <w:t>1</w:t>
        </w:r>
        <w:r>
          <w:fldChar w:fldCharType="end"/>
        </w:r>
      </w:p>
    </w:sdtContent>
  </w:sdt>
  <w:p w14:paraId="15F13366" w14:textId="77777777" w:rsidR="00420634" w:rsidRDefault="00420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5187C" w14:textId="77777777" w:rsidR="006F065E" w:rsidRDefault="006F065E" w:rsidP="00B47B7F">
      <w:pPr>
        <w:spacing w:after="0" w:line="240" w:lineRule="auto"/>
      </w:pPr>
      <w:r>
        <w:separator/>
      </w:r>
    </w:p>
  </w:footnote>
  <w:footnote w:type="continuationSeparator" w:id="0">
    <w:p w14:paraId="04EE9F06" w14:textId="77777777" w:rsidR="006F065E" w:rsidRDefault="006F065E" w:rsidP="00B47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CAB"/>
    <w:multiLevelType w:val="hybridMultilevel"/>
    <w:tmpl w:val="FFD0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968B9"/>
    <w:multiLevelType w:val="hybridMultilevel"/>
    <w:tmpl w:val="9256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85CDC"/>
    <w:multiLevelType w:val="hybridMultilevel"/>
    <w:tmpl w:val="4A527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64A17"/>
    <w:multiLevelType w:val="hybridMultilevel"/>
    <w:tmpl w:val="3F784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476B1"/>
    <w:multiLevelType w:val="hybridMultilevel"/>
    <w:tmpl w:val="C7522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6D4B34"/>
    <w:multiLevelType w:val="hybridMultilevel"/>
    <w:tmpl w:val="9A649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80AE0"/>
    <w:multiLevelType w:val="hybridMultilevel"/>
    <w:tmpl w:val="B7524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368C6"/>
    <w:multiLevelType w:val="hybridMultilevel"/>
    <w:tmpl w:val="94E6C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4A48E5"/>
    <w:multiLevelType w:val="hybridMultilevel"/>
    <w:tmpl w:val="22AA47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FC3F2D"/>
    <w:multiLevelType w:val="hybridMultilevel"/>
    <w:tmpl w:val="CF7E9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85F6E"/>
    <w:multiLevelType w:val="hybridMultilevel"/>
    <w:tmpl w:val="88327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325FA"/>
    <w:multiLevelType w:val="multilevel"/>
    <w:tmpl w:val="610EDD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3FC818E6"/>
    <w:multiLevelType w:val="hybridMultilevel"/>
    <w:tmpl w:val="EAA08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843917"/>
    <w:multiLevelType w:val="hybridMultilevel"/>
    <w:tmpl w:val="B2A63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D371D1"/>
    <w:multiLevelType w:val="hybridMultilevel"/>
    <w:tmpl w:val="48A8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4D3881"/>
    <w:multiLevelType w:val="hybridMultilevel"/>
    <w:tmpl w:val="AE961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F14F4F"/>
    <w:multiLevelType w:val="hybridMultilevel"/>
    <w:tmpl w:val="0212BF28"/>
    <w:lvl w:ilvl="0" w:tplc="42F87402">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C93072"/>
    <w:multiLevelType w:val="hybridMultilevel"/>
    <w:tmpl w:val="60B6B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907151"/>
    <w:multiLevelType w:val="hybridMultilevel"/>
    <w:tmpl w:val="5358D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F046B1"/>
    <w:multiLevelType w:val="hybridMultilevel"/>
    <w:tmpl w:val="65EC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321613"/>
    <w:multiLevelType w:val="hybridMultilevel"/>
    <w:tmpl w:val="F0B62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A54384"/>
    <w:multiLevelType w:val="hybridMultilevel"/>
    <w:tmpl w:val="A496B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3"/>
  </w:num>
  <w:num w:numId="4">
    <w:abstractNumId w:val="2"/>
  </w:num>
  <w:num w:numId="5">
    <w:abstractNumId w:val="17"/>
  </w:num>
  <w:num w:numId="6">
    <w:abstractNumId w:val="9"/>
  </w:num>
  <w:num w:numId="7">
    <w:abstractNumId w:val="21"/>
  </w:num>
  <w:num w:numId="8">
    <w:abstractNumId w:val="10"/>
  </w:num>
  <w:num w:numId="9">
    <w:abstractNumId w:val="19"/>
  </w:num>
  <w:num w:numId="10">
    <w:abstractNumId w:val="1"/>
  </w:num>
  <w:num w:numId="11">
    <w:abstractNumId w:val="5"/>
  </w:num>
  <w:num w:numId="12">
    <w:abstractNumId w:val="6"/>
  </w:num>
  <w:num w:numId="13">
    <w:abstractNumId w:val="7"/>
  </w:num>
  <w:num w:numId="14">
    <w:abstractNumId w:val="16"/>
  </w:num>
  <w:num w:numId="15">
    <w:abstractNumId w:val="0"/>
  </w:num>
  <w:num w:numId="16">
    <w:abstractNumId w:val="12"/>
  </w:num>
  <w:num w:numId="17">
    <w:abstractNumId w:val="3"/>
  </w:num>
  <w:num w:numId="18">
    <w:abstractNumId w:val="14"/>
  </w:num>
  <w:num w:numId="19">
    <w:abstractNumId w:val="18"/>
  </w:num>
  <w:num w:numId="20">
    <w:abstractNumId w:val="4"/>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BC"/>
    <w:rsid w:val="00000466"/>
    <w:rsid w:val="000067AA"/>
    <w:rsid w:val="0001008D"/>
    <w:rsid w:val="0003255B"/>
    <w:rsid w:val="0006184C"/>
    <w:rsid w:val="000927BA"/>
    <w:rsid w:val="000971DD"/>
    <w:rsid w:val="000C3983"/>
    <w:rsid w:val="000D71F1"/>
    <w:rsid w:val="000F0223"/>
    <w:rsid w:val="0011590D"/>
    <w:rsid w:val="00171D10"/>
    <w:rsid w:val="001763E5"/>
    <w:rsid w:val="0018724B"/>
    <w:rsid w:val="001B5649"/>
    <w:rsid w:val="001C2BDA"/>
    <w:rsid w:val="001C5A1C"/>
    <w:rsid w:val="001D49BD"/>
    <w:rsid w:val="001D654B"/>
    <w:rsid w:val="001F0542"/>
    <w:rsid w:val="001F461E"/>
    <w:rsid w:val="001F61F9"/>
    <w:rsid w:val="002174AA"/>
    <w:rsid w:val="00217CA9"/>
    <w:rsid w:val="00222A55"/>
    <w:rsid w:val="00224706"/>
    <w:rsid w:val="00250D7D"/>
    <w:rsid w:val="00250FBD"/>
    <w:rsid w:val="00277047"/>
    <w:rsid w:val="00281E84"/>
    <w:rsid w:val="002A1699"/>
    <w:rsid w:val="002A3C94"/>
    <w:rsid w:val="002A6AFF"/>
    <w:rsid w:val="002C55A4"/>
    <w:rsid w:val="002D2B62"/>
    <w:rsid w:val="00336713"/>
    <w:rsid w:val="00360BC4"/>
    <w:rsid w:val="00366C95"/>
    <w:rsid w:val="00374ADF"/>
    <w:rsid w:val="00381338"/>
    <w:rsid w:val="003914FD"/>
    <w:rsid w:val="003A37AF"/>
    <w:rsid w:val="003A6CB9"/>
    <w:rsid w:val="003B4C60"/>
    <w:rsid w:val="003C56FD"/>
    <w:rsid w:val="003D10B0"/>
    <w:rsid w:val="003E1E72"/>
    <w:rsid w:val="003E4CA4"/>
    <w:rsid w:val="00420634"/>
    <w:rsid w:val="00462C27"/>
    <w:rsid w:val="004651D8"/>
    <w:rsid w:val="00465959"/>
    <w:rsid w:val="004818D3"/>
    <w:rsid w:val="00482F8F"/>
    <w:rsid w:val="004831D1"/>
    <w:rsid w:val="004872BC"/>
    <w:rsid w:val="00494CC0"/>
    <w:rsid w:val="00497BDA"/>
    <w:rsid w:val="004A7AEF"/>
    <w:rsid w:val="004B38D8"/>
    <w:rsid w:val="004D6337"/>
    <w:rsid w:val="004E0928"/>
    <w:rsid w:val="004E54AD"/>
    <w:rsid w:val="004F3621"/>
    <w:rsid w:val="00506B56"/>
    <w:rsid w:val="00507150"/>
    <w:rsid w:val="00526B65"/>
    <w:rsid w:val="005427F8"/>
    <w:rsid w:val="00553D92"/>
    <w:rsid w:val="00564EC4"/>
    <w:rsid w:val="0056609D"/>
    <w:rsid w:val="005709ED"/>
    <w:rsid w:val="00571E03"/>
    <w:rsid w:val="00577C61"/>
    <w:rsid w:val="00591599"/>
    <w:rsid w:val="005E43F2"/>
    <w:rsid w:val="005F0774"/>
    <w:rsid w:val="0060224A"/>
    <w:rsid w:val="006329D0"/>
    <w:rsid w:val="006346E4"/>
    <w:rsid w:val="00653358"/>
    <w:rsid w:val="006620B4"/>
    <w:rsid w:val="006673AC"/>
    <w:rsid w:val="006851AA"/>
    <w:rsid w:val="0069271A"/>
    <w:rsid w:val="006A3C9A"/>
    <w:rsid w:val="006B4B7F"/>
    <w:rsid w:val="006B5FCF"/>
    <w:rsid w:val="006F065E"/>
    <w:rsid w:val="00701C4D"/>
    <w:rsid w:val="00706DAA"/>
    <w:rsid w:val="00713372"/>
    <w:rsid w:val="007260FE"/>
    <w:rsid w:val="00730CAA"/>
    <w:rsid w:val="00740774"/>
    <w:rsid w:val="00744988"/>
    <w:rsid w:val="00753D40"/>
    <w:rsid w:val="00772079"/>
    <w:rsid w:val="00776A07"/>
    <w:rsid w:val="00781F7C"/>
    <w:rsid w:val="00787800"/>
    <w:rsid w:val="007A475A"/>
    <w:rsid w:val="007A6DCD"/>
    <w:rsid w:val="007B1694"/>
    <w:rsid w:val="007B5425"/>
    <w:rsid w:val="007C3E7F"/>
    <w:rsid w:val="008012FB"/>
    <w:rsid w:val="008108FF"/>
    <w:rsid w:val="0084029A"/>
    <w:rsid w:val="00853F90"/>
    <w:rsid w:val="008A1331"/>
    <w:rsid w:val="008A439A"/>
    <w:rsid w:val="008D1BDE"/>
    <w:rsid w:val="008D45E0"/>
    <w:rsid w:val="008F35F1"/>
    <w:rsid w:val="00903EB8"/>
    <w:rsid w:val="00905952"/>
    <w:rsid w:val="00931E26"/>
    <w:rsid w:val="00937AC7"/>
    <w:rsid w:val="00950580"/>
    <w:rsid w:val="009720DF"/>
    <w:rsid w:val="0098379E"/>
    <w:rsid w:val="00983F3A"/>
    <w:rsid w:val="009B5713"/>
    <w:rsid w:val="009B7DE8"/>
    <w:rsid w:val="009C1DD0"/>
    <w:rsid w:val="009C63A9"/>
    <w:rsid w:val="009E6D2A"/>
    <w:rsid w:val="009F1B89"/>
    <w:rsid w:val="00A30799"/>
    <w:rsid w:val="00A405F2"/>
    <w:rsid w:val="00A57359"/>
    <w:rsid w:val="00A654F5"/>
    <w:rsid w:val="00A70D16"/>
    <w:rsid w:val="00A767A3"/>
    <w:rsid w:val="00AA1329"/>
    <w:rsid w:val="00AA7629"/>
    <w:rsid w:val="00AB0EA9"/>
    <w:rsid w:val="00AE7B1B"/>
    <w:rsid w:val="00AF5BA1"/>
    <w:rsid w:val="00B2581B"/>
    <w:rsid w:val="00B27043"/>
    <w:rsid w:val="00B3273C"/>
    <w:rsid w:val="00B35656"/>
    <w:rsid w:val="00B47B7F"/>
    <w:rsid w:val="00B50C8F"/>
    <w:rsid w:val="00B61A35"/>
    <w:rsid w:val="00B64BFC"/>
    <w:rsid w:val="00B65242"/>
    <w:rsid w:val="00B843AB"/>
    <w:rsid w:val="00BB4C3A"/>
    <w:rsid w:val="00BC2D8B"/>
    <w:rsid w:val="00BC3DF0"/>
    <w:rsid w:val="00BF5FE3"/>
    <w:rsid w:val="00C50191"/>
    <w:rsid w:val="00C55B1B"/>
    <w:rsid w:val="00C63922"/>
    <w:rsid w:val="00C82A17"/>
    <w:rsid w:val="00C8749D"/>
    <w:rsid w:val="00CC05DC"/>
    <w:rsid w:val="00CC30B2"/>
    <w:rsid w:val="00CC4BCE"/>
    <w:rsid w:val="00CC7B0C"/>
    <w:rsid w:val="00CE0992"/>
    <w:rsid w:val="00D344CB"/>
    <w:rsid w:val="00D401F7"/>
    <w:rsid w:val="00D62439"/>
    <w:rsid w:val="00D83F3E"/>
    <w:rsid w:val="00D9430C"/>
    <w:rsid w:val="00DA5B0F"/>
    <w:rsid w:val="00DC7FCF"/>
    <w:rsid w:val="00DD0385"/>
    <w:rsid w:val="00DD4B08"/>
    <w:rsid w:val="00DD701F"/>
    <w:rsid w:val="00DE0894"/>
    <w:rsid w:val="00DE55EE"/>
    <w:rsid w:val="00DF0269"/>
    <w:rsid w:val="00DF0AFA"/>
    <w:rsid w:val="00E073ED"/>
    <w:rsid w:val="00E2718E"/>
    <w:rsid w:val="00E31C36"/>
    <w:rsid w:val="00E462B6"/>
    <w:rsid w:val="00E74FC2"/>
    <w:rsid w:val="00E751F0"/>
    <w:rsid w:val="00E85981"/>
    <w:rsid w:val="00E9383B"/>
    <w:rsid w:val="00EB326C"/>
    <w:rsid w:val="00EB3516"/>
    <w:rsid w:val="00EC1B92"/>
    <w:rsid w:val="00ED75F3"/>
    <w:rsid w:val="00EF424D"/>
    <w:rsid w:val="00F1212E"/>
    <w:rsid w:val="00F15275"/>
    <w:rsid w:val="00F27A42"/>
    <w:rsid w:val="00F539E9"/>
    <w:rsid w:val="00F767A5"/>
    <w:rsid w:val="00F83A88"/>
    <w:rsid w:val="00F8703C"/>
    <w:rsid w:val="00F902CA"/>
    <w:rsid w:val="00FA6A47"/>
    <w:rsid w:val="00FB5C8A"/>
    <w:rsid w:val="00FC3FD3"/>
    <w:rsid w:val="00FC79F5"/>
    <w:rsid w:val="00FF2F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BAF937"/>
  <w15:chartTrackingRefBased/>
  <w15:docId w15:val="{79E5E185-C23A-4B18-AE84-48446633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81E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08D"/>
    <w:pPr>
      <w:ind w:left="720"/>
      <w:contextualSpacing/>
    </w:pPr>
  </w:style>
  <w:style w:type="character" w:styleId="Hyperlink">
    <w:name w:val="Hyperlink"/>
    <w:basedOn w:val="DefaultParagraphFont"/>
    <w:uiPriority w:val="99"/>
    <w:unhideWhenUsed/>
    <w:rsid w:val="00730CAA"/>
    <w:rPr>
      <w:color w:val="0563C1" w:themeColor="hyperlink"/>
      <w:u w:val="single"/>
    </w:rPr>
  </w:style>
  <w:style w:type="table" w:styleId="TableGrid">
    <w:name w:val="Table Grid"/>
    <w:basedOn w:val="TableNormal"/>
    <w:uiPriority w:val="39"/>
    <w:rsid w:val="00000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81E84"/>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0D71F1"/>
    <w:rPr>
      <w:color w:val="808080"/>
      <w:shd w:val="clear" w:color="auto" w:fill="E6E6E6"/>
    </w:rPr>
  </w:style>
  <w:style w:type="character" w:styleId="FollowedHyperlink">
    <w:name w:val="FollowedHyperlink"/>
    <w:basedOn w:val="DefaultParagraphFont"/>
    <w:uiPriority w:val="99"/>
    <w:semiHidden/>
    <w:unhideWhenUsed/>
    <w:rsid w:val="000D71F1"/>
    <w:rPr>
      <w:color w:val="954F72" w:themeColor="followedHyperlink"/>
      <w:u w:val="single"/>
    </w:rPr>
  </w:style>
  <w:style w:type="paragraph" w:styleId="Header">
    <w:name w:val="header"/>
    <w:basedOn w:val="Normal"/>
    <w:link w:val="HeaderChar"/>
    <w:uiPriority w:val="99"/>
    <w:unhideWhenUsed/>
    <w:rsid w:val="00B47B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B7F"/>
  </w:style>
  <w:style w:type="paragraph" w:styleId="Footer">
    <w:name w:val="footer"/>
    <w:basedOn w:val="Normal"/>
    <w:link w:val="FooterChar"/>
    <w:uiPriority w:val="99"/>
    <w:unhideWhenUsed/>
    <w:rsid w:val="00B47B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B7F"/>
  </w:style>
  <w:style w:type="paragraph" w:styleId="BalloonText">
    <w:name w:val="Balloon Text"/>
    <w:basedOn w:val="Normal"/>
    <w:link w:val="BalloonTextChar"/>
    <w:uiPriority w:val="99"/>
    <w:semiHidden/>
    <w:unhideWhenUsed/>
    <w:rsid w:val="000325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5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isson@hull.ac.uk" TargetMode="External"/><Relationship Id="rId13" Type="http://schemas.openxmlformats.org/officeDocument/2006/relationships/image" Target="media/image1.png"/><Relationship Id="rId18" Type="http://schemas.openxmlformats.org/officeDocument/2006/relationships/hyperlink" Target="https://www.ons.gov.uk/peoplepopulationandcommunity/birthsdeathsandmarriages/livebirths/bulletins/birthsummarytablesenglandandwales/2016"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gov.uk/government/uploads/system/uploads/attachment_data/file/147824/Green-Book-Chapter-6-v2_0.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nice.org.uk/guidance/ng25/chapter/context" TargetMode="External"/><Relationship Id="rId25" Type="http://schemas.openxmlformats.org/officeDocument/2006/relationships/hyperlink" Target="http://www.unicef.org.uk/UNICEFs-Work/What-we-do/Disease/" TargetMode="External"/><Relationship Id="rId2" Type="http://schemas.openxmlformats.org/officeDocument/2006/relationships/numbering" Target="numbering.xml"/><Relationship Id="rId16" Type="http://schemas.openxmlformats.org/officeDocument/2006/relationships/hyperlink" Target="http://www.immunise.health.gov.au/internet/immunise/publishing.nsf/Content/Handbook10-home~handbook10part3~handbook10-3-3" TargetMode="External"/><Relationship Id="rId20" Type="http://schemas.openxmlformats.org/officeDocument/2006/relationships/hyperlink" Target="http://www.phac-aspc.gc.ca/publicat/cig-gci/p03-05-eng.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who.int/mediacentre/factsheets/fs378/en/" TargetMode="External"/><Relationship Id="rId5" Type="http://schemas.openxmlformats.org/officeDocument/2006/relationships/webSettings" Target="webSettings.xml"/><Relationship Id="rId15" Type="http://schemas.openxmlformats.org/officeDocument/2006/relationships/hyperlink" Target="http://redbook.solutions.aap.org/chapter.aspx?sectionId=88187007&amp;bookId=1484&amp;resultClick=1" TargetMode="External"/><Relationship Id="rId23" Type="http://schemas.openxmlformats.org/officeDocument/2006/relationships/hyperlink" Target="http://www.who.int/mediacentre/factsheets/fs363/en/" TargetMode="External"/><Relationship Id="rId28" Type="http://schemas.openxmlformats.org/officeDocument/2006/relationships/fontTable" Target="fontTable.xml"/><Relationship Id="rId10" Type="http://schemas.openxmlformats.org/officeDocument/2006/relationships/hyperlink" Target="mailto:r.watson@hull.ac.uk" TargetMode="External"/><Relationship Id="rId19" Type="http://schemas.openxmlformats.org/officeDocument/2006/relationships/hyperlink" Target="https://www.gov.uk/government/uploads/system/uploads/attachment_data/file/666735/hpr4517_cover.pdf" TargetMode="External"/><Relationship Id="rId4" Type="http://schemas.openxmlformats.org/officeDocument/2006/relationships/settings" Target="settings.xml"/><Relationship Id="rId9" Type="http://schemas.openxmlformats.org/officeDocument/2006/relationships/hyperlink" Target="mailto:e.d.gardiner@hull.ac.uk" TargetMode="External"/><Relationship Id="rId14" Type="http://schemas.openxmlformats.org/officeDocument/2006/relationships/image" Target="media/image2.png"/><Relationship Id="rId22" Type="http://schemas.openxmlformats.org/officeDocument/2006/relationships/hyperlink" Target="https://www.gov.uk/government/uploads/system/uploads/attachment_data/file/309218/Green_Book_Chapter_7_v1_3.pdf"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63DE8-CA1B-496C-8B34-5BAEEBB28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14</Pages>
  <Words>3142</Words>
  <Characters>17910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Sisson</dc:creator>
  <cp:keywords/>
  <dc:description/>
  <cp:lastModifiedBy>Helen Sisson</cp:lastModifiedBy>
  <cp:revision>162</cp:revision>
  <cp:lastPrinted>2018-07-10T10:08:00Z</cp:lastPrinted>
  <dcterms:created xsi:type="dcterms:W3CDTF">2018-02-08T09:35:00Z</dcterms:created>
  <dcterms:modified xsi:type="dcterms:W3CDTF">2019-07-23T06:44:00Z</dcterms:modified>
</cp:coreProperties>
</file>