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25D58" w14:textId="6E77A5D9" w:rsidR="00626936" w:rsidRPr="00D713FE" w:rsidRDefault="00626936" w:rsidP="00D32193">
      <w:pPr>
        <w:ind w:left="567"/>
        <w:jc w:val="center"/>
        <w:rPr>
          <w:rFonts w:asciiTheme="majorHAnsi" w:hAnsiTheme="majorHAnsi" w:cstheme="majorHAnsi"/>
          <w:b/>
          <w:sz w:val="28"/>
          <w:szCs w:val="28"/>
        </w:rPr>
      </w:pPr>
      <w:r w:rsidRPr="00D713FE">
        <w:rPr>
          <w:rFonts w:asciiTheme="majorHAnsi" w:hAnsiTheme="majorHAnsi" w:cstheme="majorHAnsi"/>
          <w:b/>
          <w:sz w:val="28"/>
          <w:szCs w:val="28"/>
        </w:rPr>
        <w:t>S</w:t>
      </w:r>
      <w:r w:rsidR="00F470CE" w:rsidRPr="00D713FE">
        <w:rPr>
          <w:rFonts w:asciiTheme="majorHAnsi" w:hAnsiTheme="majorHAnsi" w:cstheme="majorHAnsi"/>
          <w:b/>
          <w:sz w:val="28"/>
          <w:szCs w:val="28"/>
        </w:rPr>
        <w:t>ub-collection Management for Persons Designated and Principal Investigators</w:t>
      </w:r>
    </w:p>
    <w:p w14:paraId="4EE3E6BD" w14:textId="77777777" w:rsidR="00626936" w:rsidRPr="00D713FE" w:rsidRDefault="00626936" w:rsidP="00D32193">
      <w:pPr>
        <w:ind w:left="567"/>
        <w:rPr>
          <w:rFonts w:asciiTheme="majorHAnsi" w:hAnsiTheme="majorHAnsi" w:cstheme="majorHAnsi"/>
          <w:b/>
        </w:rPr>
      </w:pPr>
    </w:p>
    <w:p w14:paraId="1817BE8C" w14:textId="77777777" w:rsidR="00626936" w:rsidRPr="00D713FE" w:rsidRDefault="00626936" w:rsidP="00D32193">
      <w:pPr>
        <w:ind w:left="567"/>
        <w:rPr>
          <w:rFonts w:asciiTheme="majorHAnsi" w:hAnsiTheme="majorHAnsi" w:cstheme="majorHAnsi"/>
          <w:b/>
        </w:rPr>
      </w:pPr>
    </w:p>
    <w:p w14:paraId="61F5CB30" w14:textId="77777777" w:rsidR="005F0D54" w:rsidRPr="00D713FE" w:rsidRDefault="005F0D54" w:rsidP="00D32193">
      <w:pPr>
        <w:pStyle w:val="ListParagraph"/>
        <w:numPr>
          <w:ilvl w:val="0"/>
          <w:numId w:val="12"/>
        </w:numPr>
        <w:ind w:left="142" w:right="112" w:firstLine="1"/>
        <w:rPr>
          <w:rFonts w:asciiTheme="majorHAnsi" w:hAnsiTheme="majorHAnsi" w:cstheme="majorHAnsi"/>
          <w:b/>
        </w:rPr>
      </w:pPr>
      <w:r w:rsidRPr="00D713FE">
        <w:rPr>
          <w:rFonts w:asciiTheme="majorHAnsi" w:hAnsiTheme="majorHAnsi" w:cstheme="majorHAnsi"/>
          <w:b/>
        </w:rPr>
        <w:t>Operational Management of the HTA Licence</w:t>
      </w:r>
    </w:p>
    <w:p w14:paraId="2D80D179" w14:textId="77777777" w:rsidR="005F0D54" w:rsidRPr="00D713FE" w:rsidRDefault="005F0D54" w:rsidP="00D32193">
      <w:pPr>
        <w:ind w:left="142" w:right="112" w:firstLine="1"/>
        <w:rPr>
          <w:rFonts w:asciiTheme="majorHAnsi" w:hAnsiTheme="majorHAnsi" w:cstheme="majorHAnsi"/>
          <w:b/>
        </w:rPr>
      </w:pPr>
    </w:p>
    <w:p w14:paraId="41F0CB0D" w14:textId="07F1C063" w:rsidR="005F0D54" w:rsidRPr="00D713FE" w:rsidRDefault="005F0D54" w:rsidP="00D32193">
      <w:pPr>
        <w:ind w:left="142" w:right="112" w:firstLine="1"/>
        <w:jc w:val="both"/>
        <w:rPr>
          <w:rFonts w:asciiTheme="majorHAnsi" w:hAnsiTheme="majorHAnsi" w:cstheme="majorHAnsi"/>
        </w:rPr>
      </w:pPr>
      <w:r w:rsidRPr="00D713FE">
        <w:rPr>
          <w:rFonts w:asciiTheme="majorHAnsi" w:hAnsiTheme="majorHAnsi" w:cstheme="majorHAnsi"/>
        </w:rPr>
        <w:t>The HTA Research Licence</w:t>
      </w:r>
      <w:r w:rsidR="000C3EDF" w:rsidRPr="00D713FE">
        <w:rPr>
          <w:rFonts w:asciiTheme="majorHAnsi" w:hAnsiTheme="majorHAnsi" w:cstheme="majorHAnsi"/>
        </w:rPr>
        <w:t xml:space="preserve"> (12275)</w:t>
      </w:r>
      <w:r w:rsidRPr="00D713FE">
        <w:rPr>
          <w:rFonts w:asciiTheme="majorHAnsi" w:hAnsiTheme="majorHAnsi" w:cstheme="majorHAnsi"/>
        </w:rPr>
        <w:t xml:space="preserve"> that covers Imperial College London and Imperial College Healthcare NHS Trust is a hub and spoke Licence.</w:t>
      </w:r>
      <w:r w:rsidR="00411FE3">
        <w:rPr>
          <w:rFonts w:asciiTheme="majorHAnsi" w:hAnsiTheme="majorHAnsi" w:cstheme="majorHAnsi"/>
        </w:rPr>
        <w:t xml:space="preserve"> </w:t>
      </w:r>
      <w:r w:rsidRPr="00D713FE">
        <w:rPr>
          <w:rFonts w:asciiTheme="majorHAnsi" w:hAnsiTheme="majorHAnsi" w:cstheme="majorHAnsi"/>
        </w:rPr>
        <w:t xml:space="preserve">The Hub is currently located at Charing Cross Campus, with spokes at the Hammersmith, St Mary’s, South </w:t>
      </w:r>
      <w:proofErr w:type="gramStart"/>
      <w:r w:rsidRPr="00D713FE">
        <w:rPr>
          <w:rFonts w:asciiTheme="majorHAnsi" w:hAnsiTheme="majorHAnsi" w:cstheme="majorHAnsi"/>
        </w:rPr>
        <w:t>Kensington</w:t>
      </w:r>
      <w:proofErr w:type="gramEnd"/>
      <w:r w:rsidR="44092A6A" w:rsidRPr="00D713FE">
        <w:rPr>
          <w:rFonts w:asciiTheme="majorHAnsi" w:hAnsiTheme="majorHAnsi" w:cstheme="majorHAnsi"/>
        </w:rPr>
        <w:t xml:space="preserve"> and White City</w:t>
      </w:r>
      <w:r w:rsidRPr="00D713FE">
        <w:rPr>
          <w:rFonts w:asciiTheme="majorHAnsi" w:hAnsiTheme="majorHAnsi" w:cstheme="majorHAnsi"/>
        </w:rPr>
        <w:t xml:space="preserve"> campuses.</w:t>
      </w:r>
      <w:r w:rsidR="00411FE3">
        <w:rPr>
          <w:rFonts w:asciiTheme="majorHAnsi" w:hAnsiTheme="majorHAnsi" w:cstheme="majorHAnsi"/>
        </w:rPr>
        <w:t xml:space="preserve"> </w:t>
      </w:r>
      <w:r w:rsidRPr="00D713FE">
        <w:rPr>
          <w:rFonts w:asciiTheme="majorHAnsi" w:hAnsiTheme="majorHAnsi" w:cstheme="majorHAnsi"/>
        </w:rPr>
        <w:t xml:space="preserve">St Marks </w:t>
      </w:r>
      <w:r w:rsidR="002D4858" w:rsidRPr="00D713FE">
        <w:rPr>
          <w:rFonts w:asciiTheme="majorHAnsi" w:hAnsiTheme="majorHAnsi" w:cstheme="majorHAnsi"/>
        </w:rPr>
        <w:t xml:space="preserve">Hospital </w:t>
      </w:r>
      <w:r w:rsidRPr="00D713FE">
        <w:rPr>
          <w:rFonts w:asciiTheme="majorHAnsi" w:hAnsiTheme="majorHAnsi" w:cstheme="majorHAnsi"/>
        </w:rPr>
        <w:t>based on the Northwick Park campus</w:t>
      </w:r>
      <w:r w:rsidR="002D4858" w:rsidRPr="00D713FE">
        <w:rPr>
          <w:rFonts w:asciiTheme="majorHAnsi" w:hAnsiTheme="majorHAnsi" w:cstheme="majorHAnsi"/>
        </w:rPr>
        <w:t xml:space="preserve"> </w:t>
      </w:r>
      <w:r w:rsidR="3C3C0B22" w:rsidRPr="00D713FE">
        <w:rPr>
          <w:rFonts w:asciiTheme="majorHAnsi" w:hAnsiTheme="majorHAnsi" w:cstheme="majorHAnsi"/>
        </w:rPr>
        <w:t xml:space="preserve">of </w:t>
      </w:r>
      <w:proofErr w:type="gramStart"/>
      <w:r w:rsidR="3C3C0B22" w:rsidRPr="00D713FE">
        <w:rPr>
          <w:rFonts w:asciiTheme="majorHAnsi" w:hAnsiTheme="majorHAnsi" w:cstheme="majorHAnsi"/>
        </w:rPr>
        <w:t>North</w:t>
      </w:r>
      <w:r w:rsidR="002D4858" w:rsidRPr="00D713FE">
        <w:rPr>
          <w:rFonts w:asciiTheme="majorHAnsi" w:hAnsiTheme="majorHAnsi" w:cstheme="majorHAnsi"/>
        </w:rPr>
        <w:t xml:space="preserve"> West</w:t>
      </w:r>
      <w:proofErr w:type="gramEnd"/>
      <w:r w:rsidR="002D4858" w:rsidRPr="00D713FE">
        <w:rPr>
          <w:rFonts w:asciiTheme="majorHAnsi" w:hAnsiTheme="majorHAnsi" w:cstheme="majorHAnsi"/>
        </w:rPr>
        <w:t xml:space="preserve"> London University Healthcare NHS Trust (NWLUH) and the Chelsea campus of Chelsea and Westminster Hospital Foundation NHS </w:t>
      </w:r>
      <w:r w:rsidR="206E16EA" w:rsidRPr="00D713FE">
        <w:rPr>
          <w:rFonts w:asciiTheme="majorHAnsi" w:hAnsiTheme="majorHAnsi" w:cstheme="majorHAnsi"/>
        </w:rPr>
        <w:t>Trust (</w:t>
      </w:r>
      <w:r w:rsidR="002D4858" w:rsidRPr="00D713FE">
        <w:rPr>
          <w:rFonts w:asciiTheme="majorHAnsi" w:hAnsiTheme="majorHAnsi" w:cstheme="majorHAnsi"/>
        </w:rPr>
        <w:t>C&amp;W)</w:t>
      </w:r>
      <w:r w:rsidRPr="00D713FE">
        <w:rPr>
          <w:rFonts w:asciiTheme="majorHAnsi" w:hAnsiTheme="majorHAnsi" w:cstheme="majorHAnsi"/>
        </w:rPr>
        <w:t xml:space="preserve"> </w:t>
      </w:r>
      <w:r w:rsidR="002D4858" w:rsidRPr="00D713FE">
        <w:rPr>
          <w:rFonts w:asciiTheme="majorHAnsi" w:hAnsiTheme="majorHAnsi" w:cstheme="majorHAnsi"/>
        </w:rPr>
        <w:t xml:space="preserve">are </w:t>
      </w:r>
      <w:r w:rsidR="24CFB0BF" w:rsidRPr="00D713FE">
        <w:rPr>
          <w:rFonts w:asciiTheme="majorHAnsi" w:hAnsiTheme="majorHAnsi" w:cstheme="majorHAnsi"/>
        </w:rPr>
        <w:t>also spokes</w:t>
      </w:r>
      <w:r w:rsidRPr="00D713FE">
        <w:rPr>
          <w:rFonts w:asciiTheme="majorHAnsi" w:hAnsiTheme="majorHAnsi" w:cstheme="majorHAnsi"/>
        </w:rPr>
        <w:t xml:space="preserve"> to the HTA Research Licence.</w:t>
      </w:r>
      <w:r w:rsidR="00411FE3">
        <w:rPr>
          <w:rFonts w:asciiTheme="majorHAnsi" w:hAnsiTheme="majorHAnsi" w:cstheme="majorHAnsi"/>
        </w:rPr>
        <w:t xml:space="preserve"> </w:t>
      </w:r>
      <w:r w:rsidR="002D4858" w:rsidRPr="00D713FE">
        <w:rPr>
          <w:rFonts w:asciiTheme="majorHAnsi" w:hAnsiTheme="majorHAnsi" w:cstheme="majorHAnsi"/>
        </w:rPr>
        <w:t xml:space="preserve">Memorandums of Understanding have been signed with both </w:t>
      </w:r>
      <w:r w:rsidR="2813EF18" w:rsidRPr="00D713FE">
        <w:rPr>
          <w:rFonts w:asciiTheme="majorHAnsi" w:hAnsiTheme="majorHAnsi" w:cstheme="majorHAnsi"/>
        </w:rPr>
        <w:t>NWLUH (</w:t>
      </w:r>
      <w:r w:rsidR="002D4858" w:rsidRPr="00D713FE">
        <w:rPr>
          <w:rFonts w:asciiTheme="majorHAnsi" w:hAnsiTheme="majorHAnsi" w:cstheme="majorHAnsi"/>
        </w:rPr>
        <w:t>TB-DOC-M7) and C&amp;W (TB-DOC-M12).</w:t>
      </w:r>
      <w:r w:rsidRPr="00D713FE">
        <w:rPr>
          <w:rFonts w:asciiTheme="majorHAnsi" w:hAnsiTheme="majorHAnsi" w:cstheme="majorHAnsi"/>
        </w:rPr>
        <w:t xml:space="preserve"> The Designated Individual</w:t>
      </w:r>
      <w:r w:rsidR="00F03C0E" w:rsidRPr="00D713FE">
        <w:rPr>
          <w:rFonts w:asciiTheme="majorHAnsi" w:hAnsiTheme="majorHAnsi" w:cstheme="majorHAnsi"/>
        </w:rPr>
        <w:t xml:space="preserve"> (DI)</w:t>
      </w:r>
      <w:r w:rsidRPr="00D713FE">
        <w:rPr>
          <w:rFonts w:asciiTheme="majorHAnsi" w:hAnsiTheme="majorHAnsi" w:cstheme="majorHAnsi"/>
        </w:rPr>
        <w:t xml:space="preserve"> has overall responsibility for ensuring that tissue collection, storage and distribution is carried in compliance with the HTA Legislation.</w:t>
      </w:r>
      <w:r w:rsidR="00411FE3">
        <w:rPr>
          <w:rFonts w:asciiTheme="majorHAnsi" w:hAnsiTheme="majorHAnsi" w:cstheme="majorHAnsi"/>
        </w:rPr>
        <w:t xml:space="preserve"> </w:t>
      </w:r>
      <w:r w:rsidRPr="00D713FE">
        <w:rPr>
          <w:rFonts w:asciiTheme="majorHAnsi" w:hAnsiTheme="majorHAnsi" w:cstheme="majorHAnsi"/>
        </w:rPr>
        <w:t xml:space="preserve">The DI is assisted by </w:t>
      </w:r>
      <w:proofErr w:type="gramStart"/>
      <w:r w:rsidRPr="00D713FE">
        <w:rPr>
          <w:rFonts w:asciiTheme="majorHAnsi" w:hAnsiTheme="majorHAnsi" w:cstheme="majorHAnsi"/>
        </w:rPr>
        <w:t>a number of</w:t>
      </w:r>
      <w:proofErr w:type="gramEnd"/>
      <w:r w:rsidRPr="00D713FE">
        <w:rPr>
          <w:rFonts w:asciiTheme="majorHAnsi" w:hAnsiTheme="majorHAnsi" w:cstheme="majorHAnsi"/>
        </w:rPr>
        <w:t xml:space="preserve"> Persons Designated at each site (see Figure 1).</w:t>
      </w:r>
      <w:r w:rsidR="00411FE3">
        <w:rPr>
          <w:rFonts w:asciiTheme="majorHAnsi" w:hAnsiTheme="majorHAnsi" w:cstheme="majorHAnsi"/>
        </w:rPr>
        <w:t xml:space="preserve"> </w:t>
      </w:r>
      <w:r w:rsidR="007F6926" w:rsidRPr="00D713FE">
        <w:rPr>
          <w:rFonts w:asciiTheme="majorHAnsi" w:hAnsiTheme="majorHAnsi" w:cstheme="majorHAnsi"/>
        </w:rPr>
        <w:t>The role and responsibility associated with the Persons Designated is given in TB-DOC-RP2.</w:t>
      </w:r>
    </w:p>
    <w:p w14:paraId="4DAA7F20" w14:textId="77777777" w:rsidR="005F0D54" w:rsidRPr="00D713FE" w:rsidRDefault="005F0D54" w:rsidP="00D32193">
      <w:pPr>
        <w:ind w:left="142" w:right="112" w:firstLine="1"/>
        <w:jc w:val="both"/>
        <w:rPr>
          <w:rFonts w:asciiTheme="majorHAnsi" w:hAnsiTheme="majorHAnsi" w:cstheme="majorHAnsi"/>
        </w:rPr>
      </w:pPr>
    </w:p>
    <w:p w14:paraId="20DBBA74" w14:textId="0D3B945A" w:rsidR="005F0D54" w:rsidRPr="00D713FE" w:rsidRDefault="005F0D54" w:rsidP="00D32193">
      <w:pPr>
        <w:ind w:left="142" w:right="112" w:firstLine="1"/>
        <w:jc w:val="both"/>
        <w:rPr>
          <w:rFonts w:asciiTheme="majorHAnsi" w:hAnsiTheme="majorHAnsi" w:cstheme="majorBidi"/>
        </w:rPr>
      </w:pPr>
      <w:r w:rsidRPr="4956B685">
        <w:rPr>
          <w:rFonts w:asciiTheme="majorHAnsi" w:hAnsiTheme="majorHAnsi" w:cstheme="majorBidi"/>
        </w:rPr>
        <w:t xml:space="preserve">The Tissue Bank is the organizational structure that provides </w:t>
      </w:r>
      <w:r w:rsidR="00B62D2A" w:rsidRPr="4956B685">
        <w:rPr>
          <w:rFonts w:asciiTheme="majorHAnsi" w:hAnsiTheme="majorHAnsi" w:cstheme="majorBidi"/>
        </w:rPr>
        <w:t>REC</w:t>
      </w:r>
      <w:r w:rsidRPr="4956B685">
        <w:rPr>
          <w:rFonts w:asciiTheme="majorHAnsi" w:hAnsiTheme="majorHAnsi" w:cstheme="majorBidi"/>
        </w:rPr>
        <w:t xml:space="preserve"> approval for consent of patients attending Imperial College Healthcare NHS Trust and St Marks NHS Trust, to acquire tissue and fluids for research purposes</w:t>
      </w:r>
      <w:r w:rsidR="00130121" w:rsidRPr="4956B685">
        <w:rPr>
          <w:rFonts w:asciiTheme="majorHAnsi" w:hAnsiTheme="majorHAnsi" w:cstheme="majorBidi"/>
        </w:rPr>
        <w:t>.</w:t>
      </w:r>
      <w:r w:rsidR="00411FE3" w:rsidRPr="4956B685">
        <w:rPr>
          <w:rFonts w:asciiTheme="majorHAnsi" w:hAnsiTheme="majorHAnsi" w:cstheme="majorBidi"/>
        </w:rPr>
        <w:t xml:space="preserve"> </w:t>
      </w:r>
      <w:r w:rsidR="00130121" w:rsidRPr="4956B685">
        <w:rPr>
          <w:rFonts w:asciiTheme="majorHAnsi" w:hAnsiTheme="majorHAnsi" w:cstheme="majorBidi"/>
        </w:rPr>
        <w:t>The Tissue Bank is also approved by</w:t>
      </w:r>
      <w:r w:rsidR="51AE7A0E" w:rsidRPr="4956B685">
        <w:rPr>
          <w:rFonts w:asciiTheme="majorHAnsi" w:hAnsiTheme="majorHAnsi" w:cstheme="majorBidi"/>
        </w:rPr>
        <w:t xml:space="preserve"> a </w:t>
      </w:r>
      <w:r w:rsidR="000D165D" w:rsidRPr="4956B685">
        <w:rPr>
          <w:rFonts w:asciiTheme="majorHAnsi" w:hAnsiTheme="majorHAnsi" w:cstheme="majorBidi"/>
        </w:rPr>
        <w:t>recognized</w:t>
      </w:r>
      <w:r w:rsidR="000D165D">
        <w:rPr>
          <w:rFonts w:asciiTheme="majorHAnsi" w:hAnsiTheme="majorHAnsi" w:cstheme="majorBidi"/>
        </w:rPr>
        <w:t xml:space="preserve"> </w:t>
      </w:r>
      <w:r w:rsidR="51AE7A0E" w:rsidRPr="4956B685">
        <w:rPr>
          <w:rFonts w:asciiTheme="majorHAnsi" w:hAnsiTheme="majorHAnsi" w:cstheme="majorBidi"/>
        </w:rPr>
        <w:t>Tissue Bank</w:t>
      </w:r>
      <w:r w:rsidR="00130121" w:rsidRPr="4956B685">
        <w:rPr>
          <w:rFonts w:asciiTheme="majorHAnsi" w:hAnsiTheme="majorHAnsi" w:cstheme="majorBidi"/>
        </w:rPr>
        <w:t xml:space="preserve"> </w:t>
      </w:r>
      <w:r w:rsidR="00B62D2A" w:rsidRPr="4956B685">
        <w:rPr>
          <w:rFonts w:asciiTheme="majorHAnsi" w:hAnsiTheme="majorHAnsi" w:cstheme="majorBidi"/>
        </w:rPr>
        <w:t>REC</w:t>
      </w:r>
      <w:r w:rsidR="00130121" w:rsidRPr="4956B685">
        <w:rPr>
          <w:rFonts w:asciiTheme="majorHAnsi" w:hAnsiTheme="majorHAnsi" w:cstheme="majorBidi"/>
        </w:rPr>
        <w:t xml:space="preserve"> to issue de-identified residual material taken with diagnostic intent for research without the need for patient consent.</w:t>
      </w:r>
      <w:r w:rsidR="00411FE3" w:rsidRPr="4956B685">
        <w:rPr>
          <w:rFonts w:asciiTheme="majorHAnsi" w:hAnsiTheme="majorHAnsi" w:cstheme="majorBidi"/>
        </w:rPr>
        <w:t xml:space="preserve"> </w:t>
      </w:r>
      <w:r w:rsidR="00801BC1">
        <w:rPr>
          <w:rFonts w:asciiTheme="majorHAnsi" w:hAnsiTheme="majorHAnsi" w:cstheme="majorBidi"/>
        </w:rPr>
        <w:t xml:space="preserve">The </w:t>
      </w:r>
      <w:r w:rsidR="00B62D2A" w:rsidRPr="4956B685">
        <w:rPr>
          <w:rFonts w:asciiTheme="majorHAnsi" w:hAnsiTheme="majorHAnsi" w:cstheme="majorBidi"/>
        </w:rPr>
        <w:t>REC</w:t>
      </w:r>
      <w:r w:rsidR="00130121" w:rsidRPr="4956B685">
        <w:rPr>
          <w:rFonts w:asciiTheme="majorHAnsi" w:hAnsiTheme="majorHAnsi" w:cstheme="majorBidi"/>
        </w:rPr>
        <w:t xml:space="preserve"> has also approved a mechanism whereby the Tissue Bank can approve access to these materials for research without the need for researchers to seek project specific research approval via </w:t>
      </w:r>
      <w:r w:rsidR="00B62D2A" w:rsidRPr="4956B685">
        <w:rPr>
          <w:rFonts w:asciiTheme="majorHAnsi" w:hAnsiTheme="majorHAnsi" w:cstheme="majorBidi"/>
        </w:rPr>
        <w:t>REC.</w:t>
      </w:r>
      <w:r w:rsidR="00411FE3" w:rsidRPr="4956B685">
        <w:rPr>
          <w:rFonts w:asciiTheme="majorHAnsi" w:hAnsiTheme="majorHAnsi" w:cstheme="majorBidi"/>
        </w:rPr>
        <w:t xml:space="preserve"> </w:t>
      </w:r>
      <w:r w:rsidR="00130121" w:rsidRPr="4956B685">
        <w:rPr>
          <w:rFonts w:asciiTheme="majorHAnsi" w:hAnsiTheme="majorHAnsi" w:cstheme="majorBidi"/>
        </w:rPr>
        <w:t xml:space="preserve">The </w:t>
      </w:r>
      <w:r w:rsidR="003C6A34" w:rsidRPr="4956B685">
        <w:rPr>
          <w:rFonts w:asciiTheme="majorHAnsi" w:hAnsiTheme="majorHAnsi" w:cstheme="majorBidi"/>
        </w:rPr>
        <w:t>REC</w:t>
      </w:r>
      <w:r w:rsidR="00130121" w:rsidRPr="4956B685">
        <w:rPr>
          <w:rFonts w:asciiTheme="majorHAnsi" w:hAnsiTheme="majorHAnsi" w:cstheme="majorBidi"/>
        </w:rPr>
        <w:t xml:space="preserve"> approval also covers specific Research Tissue Banks such as the St Mark’s Tissue Bank, the Recurrent Miscarriage Tissue Bank and the Trophoblast and Germ Cell Tissue Bank, as well as use of material from patients consented </w:t>
      </w:r>
      <w:r w:rsidR="000C3EDF" w:rsidRPr="4956B685">
        <w:rPr>
          <w:rFonts w:asciiTheme="majorHAnsi" w:hAnsiTheme="majorHAnsi" w:cstheme="majorBidi"/>
        </w:rPr>
        <w:t>using</w:t>
      </w:r>
      <w:r w:rsidR="00130121" w:rsidRPr="4956B685">
        <w:rPr>
          <w:rFonts w:asciiTheme="majorHAnsi" w:hAnsiTheme="majorHAnsi" w:cstheme="majorBidi"/>
        </w:rPr>
        <w:t xml:space="preserve"> the Trust’s </w:t>
      </w:r>
      <w:proofErr w:type="gramStart"/>
      <w:r w:rsidR="00130121" w:rsidRPr="4956B685">
        <w:rPr>
          <w:rFonts w:asciiTheme="majorHAnsi" w:hAnsiTheme="majorHAnsi" w:cstheme="majorBidi"/>
        </w:rPr>
        <w:t>Post mortem</w:t>
      </w:r>
      <w:proofErr w:type="gramEnd"/>
      <w:r w:rsidR="00130121" w:rsidRPr="4956B685">
        <w:rPr>
          <w:rFonts w:asciiTheme="majorHAnsi" w:hAnsiTheme="majorHAnsi" w:cstheme="majorBidi"/>
        </w:rPr>
        <w:t xml:space="preserve"> consent </w:t>
      </w:r>
      <w:r w:rsidR="000C3EDF" w:rsidRPr="4956B685">
        <w:rPr>
          <w:rFonts w:asciiTheme="majorHAnsi" w:hAnsiTheme="majorHAnsi" w:cstheme="majorBidi"/>
        </w:rPr>
        <w:t xml:space="preserve">form </w:t>
      </w:r>
      <w:r w:rsidR="00130121" w:rsidRPr="4956B685">
        <w:rPr>
          <w:rFonts w:asciiTheme="majorHAnsi" w:hAnsiTheme="majorHAnsi" w:cstheme="majorBidi"/>
        </w:rPr>
        <w:t xml:space="preserve">and </w:t>
      </w:r>
      <w:r w:rsidR="000C3EDF" w:rsidRPr="4956B685">
        <w:rPr>
          <w:rFonts w:asciiTheme="majorHAnsi" w:hAnsiTheme="majorHAnsi" w:cstheme="majorBidi"/>
        </w:rPr>
        <w:t>those</w:t>
      </w:r>
      <w:r w:rsidR="00130121" w:rsidRPr="4956B685">
        <w:rPr>
          <w:rFonts w:asciiTheme="majorHAnsi" w:hAnsiTheme="majorHAnsi" w:cstheme="majorBidi"/>
        </w:rPr>
        <w:t xml:space="preserve"> using the London Anatomy Office consent forms.</w:t>
      </w:r>
    </w:p>
    <w:p w14:paraId="288CC717" w14:textId="77777777" w:rsidR="00130121" w:rsidRPr="00D713FE" w:rsidRDefault="00130121" w:rsidP="00D32193">
      <w:pPr>
        <w:ind w:left="142" w:right="112" w:firstLine="1"/>
        <w:jc w:val="both"/>
        <w:rPr>
          <w:rFonts w:asciiTheme="majorHAnsi" w:hAnsiTheme="majorHAnsi" w:cstheme="majorHAnsi"/>
        </w:rPr>
      </w:pPr>
    </w:p>
    <w:p w14:paraId="3BBE73C1" w14:textId="1C0A9AFC" w:rsidR="00130121" w:rsidRPr="00D713FE" w:rsidRDefault="00130121" w:rsidP="00D32193">
      <w:pPr>
        <w:ind w:left="142" w:right="112" w:firstLine="1"/>
        <w:jc w:val="both"/>
        <w:rPr>
          <w:rFonts w:asciiTheme="majorHAnsi" w:hAnsiTheme="majorHAnsi" w:cstheme="majorHAnsi"/>
        </w:rPr>
      </w:pPr>
      <w:r w:rsidRPr="00D713FE">
        <w:rPr>
          <w:rFonts w:asciiTheme="majorHAnsi" w:hAnsiTheme="majorHAnsi" w:cstheme="majorHAnsi"/>
        </w:rPr>
        <w:t xml:space="preserve">The HTA Research Licence not only covers the storage of material by the Tissue Bank, but also storage by number of other Tissue Banks such as the </w:t>
      </w:r>
      <w:proofErr w:type="spellStart"/>
      <w:r w:rsidRPr="00D713FE">
        <w:rPr>
          <w:rFonts w:asciiTheme="majorHAnsi" w:hAnsiTheme="majorHAnsi" w:cstheme="majorHAnsi"/>
        </w:rPr>
        <w:t>Parkinsons</w:t>
      </w:r>
      <w:proofErr w:type="spellEnd"/>
      <w:r w:rsidRPr="00D713FE">
        <w:rPr>
          <w:rFonts w:asciiTheme="majorHAnsi" w:hAnsiTheme="majorHAnsi" w:cstheme="majorHAnsi"/>
        </w:rPr>
        <w:t xml:space="preserve"> and Multiple Sclerosis Tissue Bank.</w:t>
      </w:r>
      <w:r w:rsidR="00411FE3">
        <w:rPr>
          <w:rFonts w:asciiTheme="majorHAnsi" w:hAnsiTheme="majorHAnsi" w:cstheme="majorHAnsi"/>
        </w:rPr>
        <w:t xml:space="preserve"> </w:t>
      </w:r>
      <w:r w:rsidRPr="00D713FE">
        <w:rPr>
          <w:rFonts w:asciiTheme="majorHAnsi" w:hAnsiTheme="majorHAnsi" w:cstheme="majorHAnsi"/>
        </w:rPr>
        <w:t xml:space="preserve">Each of these are Research Tissue Banks </w:t>
      </w:r>
      <w:proofErr w:type="gramStart"/>
      <w:r w:rsidRPr="00D713FE">
        <w:rPr>
          <w:rFonts w:asciiTheme="majorHAnsi" w:hAnsiTheme="majorHAnsi" w:cstheme="majorHAnsi"/>
        </w:rPr>
        <w:t>in their own right and</w:t>
      </w:r>
      <w:proofErr w:type="gramEnd"/>
      <w:r w:rsidRPr="00D713FE">
        <w:rPr>
          <w:rFonts w:asciiTheme="majorHAnsi" w:hAnsiTheme="majorHAnsi" w:cstheme="majorHAnsi"/>
        </w:rPr>
        <w:t xml:space="preserve"> have their own Research Tissue Bank approval from </w:t>
      </w:r>
      <w:r w:rsidR="003C6A34" w:rsidRPr="00D713FE">
        <w:rPr>
          <w:rFonts w:asciiTheme="majorHAnsi" w:hAnsiTheme="majorHAnsi" w:cstheme="majorHAnsi"/>
        </w:rPr>
        <w:t>REC.</w:t>
      </w:r>
      <w:r w:rsidR="00411FE3">
        <w:rPr>
          <w:rFonts w:asciiTheme="majorHAnsi" w:hAnsiTheme="majorHAnsi" w:cstheme="majorHAnsi"/>
        </w:rPr>
        <w:t xml:space="preserve"> </w:t>
      </w:r>
      <w:r w:rsidRPr="00D713FE">
        <w:rPr>
          <w:rFonts w:asciiTheme="majorHAnsi" w:hAnsiTheme="majorHAnsi" w:cstheme="majorHAnsi"/>
        </w:rPr>
        <w:t xml:space="preserve">In addition, the HTA Research Licence covers storage of materials that were previously held under a project specific REC approval, </w:t>
      </w:r>
      <w:r w:rsidR="00B213E6" w:rsidRPr="00D713FE">
        <w:rPr>
          <w:rFonts w:asciiTheme="majorHAnsi" w:hAnsiTheme="majorHAnsi" w:cstheme="majorHAnsi"/>
        </w:rPr>
        <w:t>but where REC approval has lapsed (</w:t>
      </w:r>
      <w:proofErr w:type="gramStart"/>
      <w:r w:rsidR="00B213E6" w:rsidRPr="00D713FE">
        <w:rPr>
          <w:rFonts w:asciiTheme="majorHAnsi" w:hAnsiTheme="majorHAnsi" w:cstheme="majorHAnsi"/>
        </w:rPr>
        <w:t>e.g.</w:t>
      </w:r>
      <w:proofErr w:type="gramEnd"/>
      <w:r w:rsidR="00B213E6" w:rsidRPr="00D713FE">
        <w:rPr>
          <w:rFonts w:asciiTheme="majorHAnsi" w:hAnsiTheme="majorHAnsi" w:cstheme="majorHAnsi"/>
        </w:rPr>
        <w:t xml:space="preserve"> clinical trial material</w:t>
      </w:r>
      <w:r w:rsidR="000C3EDF" w:rsidRPr="00D713FE">
        <w:rPr>
          <w:rFonts w:asciiTheme="majorHAnsi" w:hAnsiTheme="majorHAnsi" w:cstheme="majorHAnsi"/>
        </w:rPr>
        <w:t xml:space="preserve"> – see 2.2 below</w:t>
      </w:r>
      <w:r w:rsidR="00B213E6" w:rsidRPr="00D713FE">
        <w:rPr>
          <w:rFonts w:asciiTheme="majorHAnsi" w:hAnsiTheme="majorHAnsi" w:cstheme="majorHAnsi"/>
        </w:rPr>
        <w:t>) and collections of material that have bee</w:t>
      </w:r>
      <w:r w:rsidR="000C3EDF" w:rsidRPr="00D713FE">
        <w:rPr>
          <w:rFonts w:asciiTheme="majorHAnsi" w:hAnsiTheme="majorHAnsi" w:cstheme="majorHAnsi"/>
        </w:rPr>
        <w:t>n</w:t>
      </w:r>
      <w:r w:rsidR="00B213E6" w:rsidRPr="00D713FE">
        <w:rPr>
          <w:rFonts w:asciiTheme="majorHAnsi" w:hAnsiTheme="majorHAnsi" w:cstheme="majorHAnsi"/>
        </w:rPr>
        <w:t xml:space="preserve"> imported in from other Institutions or from abroad</w:t>
      </w:r>
      <w:r w:rsidR="000C3EDF" w:rsidRPr="00D713FE">
        <w:rPr>
          <w:rFonts w:asciiTheme="majorHAnsi" w:hAnsiTheme="majorHAnsi" w:cstheme="majorHAnsi"/>
        </w:rPr>
        <w:t xml:space="preserve"> (see 2.3 below)</w:t>
      </w:r>
      <w:r w:rsidR="00B213E6" w:rsidRPr="00D713FE">
        <w:rPr>
          <w:rFonts w:asciiTheme="majorHAnsi" w:hAnsiTheme="majorHAnsi" w:cstheme="majorHAnsi"/>
        </w:rPr>
        <w:t>.</w:t>
      </w:r>
    </w:p>
    <w:p w14:paraId="54E3E76B" w14:textId="0AE53D9B" w:rsidR="005F0D54" w:rsidRPr="00C07A36" w:rsidRDefault="00E763BF" w:rsidP="00C07A36">
      <w:pPr>
        <w:ind w:left="142" w:right="112" w:firstLine="1"/>
        <w:jc w:val="both"/>
        <w:rPr>
          <w:rFonts w:asciiTheme="majorHAnsi" w:hAnsiTheme="majorHAnsi" w:cstheme="majorHAnsi"/>
          <w:b/>
          <w:bCs/>
        </w:rPr>
      </w:pPr>
      <w:r w:rsidRPr="00D713FE">
        <w:rPr>
          <w:rFonts w:asciiTheme="majorHAnsi" w:hAnsiTheme="majorHAnsi" w:cstheme="majorHAnsi"/>
          <w:b/>
        </w:rPr>
        <w:tab/>
      </w:r>
    </w:p>
    <w:p w14:paraId="317C163E" w14:textId="16CE8CA1" w:rsidR="00EA42E8" w:rsidRPr="00D32193" w:rsidRDefault="00E763BF" w:rsidP="00D32193">
      <w:pPr>
        <w:ind w:left="142" w:right="112" w:firstLine="1"/>
        <w:jc w:val="both"/>
        <w:rPr>
          <w:rFonts w:asciiTheme="majorHAnsi" w:hAnsiTheme="majorHAnsi" w:cstheme="majorHAnsi"/>
        </w:rPr>
      </w:pPr>
      <w:r w:rsidRPr="00D713FE">
        <w:rPr>
          <w:rFonts w:asciiTheme="majorHAnsi" w:hAnsiTheme="majorHAnsi" w:cstheme="majorHAnsi"/>
        </w:rPr>
        <w:t>The main tissue collection comprises material from operative specimens that is surplus to diagnostic requirement.</w:t>
      </w:r>
      <w:r w:rsidR="00411FE3">
        <w:rPr>
          <w:rFonts w:asciiTheme="majorHAnsi" w:hAnsiTheme="majorHAnsi" w:cstheme="majorHAnsi"/>
        </w:rPr>
        <w:t xml:space="preserve"> </w:t>
      </w:r>
      <w:r w:rsidRPr="00D713FE">
        <w:rPr>
          <w:rFonts w:asciiTheme="majorHAnsi" w:hAnsiTheme="majorHAnsi" w:cstheme="majorHAnsi"/>
        </w:rPr>
        <w:t>However, many of our clinicians also wish to collect fluid samples (</w:t>
      </w:r>
      <w:proofErr w:type="gramStart"/>
      <w:r w:rsidRPr="00D713FE">
        <w:rPr>
          <w:rFonts w:asciiTheme="majorHAnsi" w:hAnsiTheme="majorHAnsi" w:cstheme="majorHAnsi"/>
        </w:rPr>
        <w:t>e.g.</w:t>
      </w:r>
      <w:proofErr w:type="gramEnd"/>
      <w:r w:rsidRPr="00D713FE">
        <w:rPr>
          <w:rFonts w:asciiTheme="majorHAnsi" w:hAnsiTheme="majorHAnsi" w:cstheme="majorHAnsi"/>
        </w:rPr>
        <w:t xml:space="preserve"> blood and urine) </w:t>
      </w:r>
      <w:r w:rsidR="002D4858" w:rsidRPr="00D713FE">
        <w:rPr>
          <w:rFonts w:asciiTheme="majorHAnsi" w:hAnsiTheme="majorHAnsi" w:cstheme="majorHAnsi"/>
        </w:rPr>
        <w:t xml:space="preserve">or swabs </w:t>
      </w:r>
      <w:r w:rsidRPr="00D713FE">
        <w:rPr>
          <w:rFonts w:asciiTheme="majorHAnsi" w:hAnsiTheme="majorHAnsi" w:cstheme="majorHAnsi"/>
        </w:rPr>
        <w:t>from their patients to provide banks of material for future use in research projects.</w:t>
      </w:r>
      <w:r w:rsidR="00FA4E94">
        <w:rPr>
          <w:rFonts w:asciiTheme="majorHAnsi" w:hAnsiTheme="majorHAnsi" w:cstheme="majorHAnsi"/>
        </w:rPr>
        <w:t xml:space="preserve"> </w:t>
      </w:r>
      <w:r w:rsidRPr="00D713FE">
        <w:rPr>
          <w:rFonts w:asciiTheme="majorHAnsi" w:hAnsiTheme="majorHAnsi" w:cstheme="majorHAnsi"/>
        </w:rPr>
        <w:t>ICHTB therefore also provides a mechanism whereby local Principal Investigators can collect and store biological samples from patients under their care.</w:t>
      </w:r>
      <w:r w:rsidR="00411FE3">
        <w:rPr>
          <w:rFonts w:asciiTheme="majorHAnsi" w:hAnsiTheme="majorHAnsi" w:cstheme="majorHAnsi"/>
        </w:rPr>
        <w:t xml:space="preserve"> </w:t>
      </w:r>
      <w:r w:rsidR="003C6A34" w:rsidRPr="00D713FE">
        <w:rPr>
          <w:rFonts w:asciiTheme="majorHAnsi" w:hAnsiTheme="majorHAnsi" w:cstheme="majorHAnsi"/>
        </w:rPr>
        <w:t xml:space="preserve">Non-invasive samples (breath, saliva, sweat, </w:t>
      </w:r>
      <w:proofErr w:type="gramStart"/>
      <w:r w:rsidR="003C6A34" w:rsidRPr="00D713FE">
        <w:rPr>
          <w:rFonts w:asciiTheme="majorHAnsi" w:hAnsiTheme="majorHAnsi" w:cstheme="majorHAnsi"/>
        </w:rPr>
        <w:t>stool</w:t>
      </w:r>
      <w:proofErr w:type="gramEnd"/>
      <w:r w:rsidR="003C6A34" w:rsidRPr="00D713FE">
        <w:rPr>
          <w:rFonts w:asciiTheme="majorHAnsi" w:hAnsiTheme="majorHAnsi" w:cstheme="majorHAnsi"/>
        </w:rPr>
        <w:t xml:space="preserve"> and urine) can be obtained from patients or from healthy volunteers.</w:t>
      </w:r>
      <w:r w:rsidR="00FA4E94">
        <w:rPr>
          <w:rFonts w:asciiTheme="majorHAnsi" w:hAnsiTheme="majorHAnsi" w:cstheme="majorHAnsi"/>
        </w:rPr>
        <w:t xml:space="preserve"> </w:t>
      </w:r>
      <w:r w:rsidR="002D4858" w:rsidRPr="00D713FE">
        <w:rPr>
          <w:rFonts w:asciiTheme="majorHAnsi" w:hAnsiTheme="majorHAnsi" w:cstheme="majorHAnsi"/>
        </w:rPr>
        <w:t>Swabs can be obtained from patients who are undergoing a procedure that involves insertion of a probe into an orifice.</w:t>
      </w:r>
      <w:r w:rsidR="00411FE3">
        <w:rPr>
          <w:rFonts w:asciiTheme="majorHAnsi" w:hAnsiTheme="majorHAnsi" w:cstheme="majorHAnsi"/>
        </w:rPr>
        <w:t xml:space="preserve"> </w:t>
      </w:r>
      <w:r w:rsidRPr="00D713FE">
        <w:rPr>
          <w:rFonts w:asciiTheme="majorHAnsi" w:hAnsiTheme="majorHAnsi" w:cstheme="majorHAnsi"/>
        </w:rPr>
        <w:t xml:space="preserve">Information on who is storing what and in which location is entered into a centralized database that provides local PIs with a tracking system to record the movement of samples in and out of their collection and to upload files relevant to their sub-collection </w:t>
      </w:r>
      <w:proofErr w:type="gramStart"/>
      <w:r w:rsidRPr="00D713FE">
        <w:rPr>
          <w:rFonts w:asciiTheme="majorHAnsi" w:hAnsiTheme="majorHAnsi" w:cstheme="majorHAnsi"/>
        </w:rPr>
        <w:t>e.g.</w:t>
      </w:r>
      <w:proofErr w:type="gramEnd"/>
      <w:r w:rsidRPr="00D713FE">
        <w:rPr>
          <w:rFonts w:asciiTheme="majorHAnsi" w:hAnsiTheme="majorHAnsi" w:cstheme="majorHAnsi"/>
        </w:rPr>
        <w:t xml:space="preserve"> SOPs for collection, annotation, etc.</w:t>
      </w:r>
      <w:r w:rsidR="00411FE3">
        <w:rPr>
          <w:rFonts w:asciiTheme="majorHAnsi" w:hAnsiTheme="majorHAnsi" w:cstheme="majorHAnsi"/>
        </w:rPr>
        <w:t xml:space="preserve"> </w:t>
      </w:r>
      <w:r w:rsidRPr="00D713FE">
        <w:rPr>
          <w:rFonts w:asciiTheme="majorHAnsi" w:hAnsiTheme="majorHAnsi" w:cstheme="majorHAnsi"/>
        </w:rPr>
        <w:t>There are different types of sub-collections that are held under the HTA Licence at Imperial.</w:t>
      </w:r>
      <w:r w:rsidR="00411FE3">
        <w:rPr>
          <w:rFonts w:asciiTheme="majorHAnsi" w:hAnsiTheme="majorHAnsi" w:cstheme="majorHAnsi"/>
        </w:rPr>
        <w:t xml:space="preserve"> </w:t>
      </w:r>
      <w:r w:rsidRPr="00D713FE">
        <w:rPr>
          <w:rFonts w:asciiTheme="majorHAnsi" w:hAnsiTheme="majorHAnsi" w:cstheme="majorHAnsi"/>
        </w:rPr>
        <w:t>Broadly these sub-collections can be divided into 3 categories.</w:t>
      </w:r>
      <w:r w:rsidR="00EA42E8" w:rsidRPr="00D713FE">
        <w:rPr>
          <w:rFonts w:asciiTheme="majorHAnsi" w:hAnsiTheme="majorHAnsi" w:cstheme="majorHAnsi"/>
          <w:b/>
        </w:rPr>
        <w:br w:type="page"/>
      </w:r>
    </w:p>
    <w:p w14:paraId="006E06DE" w14:textId="3F493C36" w:rsidR="00EA42E8" w:rsidRPr="00D713FE" w:rsidRDefault="00EA42E8" w:rsidP="00D32193">
      <w:pPr>
        <w:ind w:left="142" w:right="112" w:firstLine="1"/>
        <w:rPr>
          <w:rFonts w:asciiTheme="majorHAnsi" w:hAnsiTheme="majorHAnsi" w:cstheme="majorHAnsi"/>
          <w:b/>
        </w:rPr>
      </w:pPr>
      <w:r w:rsidRPr="00D713FE">
        <w:rPr>
          <w:rFonts w:asciiTheme="majorHAnsi" w:hAnsiTheme="majorHAnsi" w:cstheme="majorHAnsi"/>
          <w:b/>
        </w:rPr>
        <w:lastRenderedPageBreak/>
        <w:t>Figure 1:</w:t>
      </w:r>
      <w:r w:rsidR="00FA4E94">
        <w:rPr>
          <w:rFonts w:asciiTheme="majorHAnsi" w:hAnsiTheme="majorHAnsi" w:cstheme="majorHAnsi"/>
          <w:b/>
        </w:rPr>
        <w:t xml:space="preserve"> </w:t>
      </w:r>
      <w:r w:rsidRPr="00D713FE">
        <w:rPr>
          <w:rFonts w:asciiTheme="majorHAnsi" w:hAnsiTheme="majorHAnsi" w:cstheme="majorHAnsi"/>
          <w:b/>
        </w:rPr>
        <w:t xml:space="preserve">HTA Research Licence – </w:t>
      </w:r>
      <w:proofErr w:type="spellStart"/>
      <w:r w:rsidRPr="00D713FE">
        <w:rPr>
          <w:rFonts w:asciiTheme="majorHAnsi" w:hAnsiTheme="majorHAnsi" w:cstheme="majorHAnsi"/>
          <w:b/>
        </w:rPr>
        <w:t>Organisational</w:t>
      </w:r>
      <w:proofErr w:type="spellEnd"/>
      <w:r w:rsidRPr="00D713FE">
        <w:rPr>
          <w:rFonts w:asciiTheme="majorHAnsi" w:hAnsiTheme="majorHAnsi" w:cstheme="majorHAnsi"/>
          <w:b/>
        </w:rPr>
        <w:t xml:space="preserve"> structure</w:t>
      </w:r>
    </w:p>
    <w:p w14:paraId="7D564362" w14:textId="77777777" w:rsidR="00EA42E8" w:rsidRPr="00D713FE" w:rsidRDefault="00EA42E8" w:rsidP="00D32193">
      <w:pPr>
        <w:ind w:left="142" w:right="112" w:firstLine="1"/>
        <w:rPr>
          <w:rFonts w:asciiTheme="majorHAnsi" w:hAnsiTheme="majorHAnsi" w:cstheme="majorHAnsi"/>
          <w:b/>
        </w:rPr>
      </w:pPr>
    </w:p>
    <w:p w14:paraId="576CA080" w14:textId="361B96EB" w:rsidR="00EA42E8" w:rsidRPr="000F73F1" w:rsidRDefault="002656E8" w:rsidP="000F73F1">
      <w:pPr>
        <w:ind w:left="142" w:right="112" w:firstLine="1"/>
        <w:rPr>
          <w:rFonts w:asciiTheme="majorHAnsi" w:hAnsiTheme="majorHAnsi" w:cstheme="majorHAnsi"/>
          <w:b/>
        </w:rPr>
      </w:pPr>
      <w:r>
        <w:rPr>
          <w:noProof/>
        </w:rPr>
        <w:drawing>
          <wp:inline distT="0" distB="0" distL="0" distR="0" wp14:anchorId="5B7984CB" wp14:editId="1C51940C">
            <wp:extent cx="6642100" cy="8486775"/>
            <wp:effectExtent l="0" t="0" r="6350" b="9525"/>
            <wp:docPr id="34" name="Picture 3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t="5987" b="5495"/>
                    <a:stretch/>
                  </pic:blipFill>
                  <pic:spPr bwMode="auto">
                    <a:xfrm>
                      <a:off x="0" y="0"/>
                      <a:ext cx="6642100" cy="8486775"/>
                    </a:xfrm>
                    <a:prstGeom prst="rect">
                      <a:avLst/>
                    </a:prstGeom>
                    <a:noFill/>
                    <a:ln>
                      <a:noFill/>
                    </a:ln>
                    <a:extLst>
                      <a:ext uri="{53640926-AAD7-44D8-BBD7-CCE9431645EC}">
                        <a14:shadowObscured xmlns:a14="http://schemas.microsoft.com/office/drawing/2010/main"/>
                      </a:ext>
                    </a:extLst>
                  </pic:spPr>
                </pic:pic>
              </a:graphicData>
            </a:graphic>
          </wp:inline>
        </w:drawing>
      </w:r>
      <w:r w:rsidR="00541D09" w:rsidRPr="00541D09">
        <w:rPr>
          <w:rFonts w:asciiTheme="majorHAnsi" w:hAnsiTheme="majorHAnsi" w:cstheme="majorHAnsi"/>
          <w:b/>
        </w:rPr>
        <w:t> </w:t>
      </w:r>
    </w:p>
    <w:p w14:paraId="71D84BDD" w14:textId="2AA74A65" w:rsidR="00E763BF" w:rsidRPr="00D713FE" w:rsidRDefault="00E763BF" w:rsidP="00D32193">
      <w:pPr>
        <w:ind w:left="142" w:right="112" w:firstLine="1"/>
        <w:jc w:val="both"/>
        <w:rPr>
          <w:rFonts w:asciiTheme="majorHAnsi" w:hAnsiTheme="majorHAnsi" w:cstheme="majorHAnsi"/>
          <w:b/>
          <w:bCs/>
        </w:rPr>
      </w:pPr>
      <w:r w:rsidRPr="00D713FE">
        <w:rPr>
          <w:rFonts w:asciiTheme="majorHAnsi" w:hAnsiTheme="majorHAnsi" w:cstheme="majorHAnsi"/>
          <w:b/>
          <w:bCs/>
        </w:rPr>
        <w:lastRenderedPageBreak/>
        <w:t>2</w:t>
      </w:r>
      <w:r w:rsidRPr="00D713FE">
        <w:rPr>
          <w:rFonts w:asciiTheme="majorHAnsi" w:hAnsiTheme="majorHAnsi" w:cstheme="majorHAnsi"/>
        </w:rPr>
        <w:tab/>
      </w:r>
      <w:r w:rsidRPr="00D713FE">
        <w:rPr>
          <w:rFonts w:asciiTheme="majorHAnsi" w:hAnsiTheme="majorHAnsi" w:cstheme="majorHAnsi"/>
          <w:b/>
          <w:bCs/>
        </w:rPr>
        <w:t>Sub-collection categories</w:t>
      </w:r>
    </w:p>
    <w:p w14:paraId="3F84BF7A" w14:textId="77777777" w:rsidR="008D3C5B" w:rsidRPr="00D713FE" w:rsidRDefault="008D3C5B" w:rsidP="00D32193">
      <w:pPr>
        <w:ind w:left="142" w:right="112" w:firstLine="1"/>
        <w:jc w:val="both"/>
        <w:rPr>
          <w:rFonts w:asciiTheme="majorHAnsi" w:hAnsiTheme="majorHAnsi" w:cstheme="majorHAnsi"/>
          <w:b/>
          <w:bCs/>
        </w:rPr>
      </w:pPr>
    </w:p>
    <w:p w14:paraId="46A9E3DC" w14:textId="77777777" w:rsidR="008D3C5B" w:rsidRPr="00D713FE" w:rsidRDefault="008D3C5B" w:rsidP="00D32193">
      <w:pPr>
        <w:ind w:left="142" w:right="112" w:firstLine="1"/>
        <w:jc w:val="both"/>
        <w:rPr>
          <w:rFonts w:asciiTheme="majorHAnsi" w:hAnsiTheme="majorHAnsi" w:cstheme="majorHAnsi"/>
        </w:rPr>
      </w:pPr>
      <w:r w:rsidRPr="00D713FE">
        <w:rPr>
          <w:rFonts w:asciiTheme="majorHAnsi" w:hAnsiTheme="majorHAnsi" w:cstheme="majorHAnsi"/>
        </w:rPr>
        <w:t>There are 3 main types of sub-collection</w:t>
      </w:r>
    </w:p>
    <w:p w14:paraId="7E975C77" w14:textId="333FCF77" w:rsidR="008D3C5B" w:rsidRPr="00D713FE" w:rsidRDefault="008D3C5B" w:rsidP="00D32193">
      <w:pPr>
        <w:pStyle w:val="ListParagraph"/>
        <w:numPr>
          <w:ilvl w:val="0"/>
          <w:numId w:val="16"/>
        </w:numPr>
        <w:ind w:left="142" w:right="112" w:firstLine="1"/>
        <w:jc w:val="both"/>
        <w:rPr>
          <w:rFonts w:asciiTheme="majorHAnsi" w:hAnsiTheme="majorHAnsi" w:cstheme="majorHAnsi"/>
        </w:rPr>
      </w:pPr>
      <w:r w:rsidRPr="00D713FE">
        <w:rPr>
          <w:rFonts w:asciiTheme="majorHAnsi" w:hAnsiTheme="majorHAnsi" w:cstheme="majorHAnsi"/>
        </w:rPr>
        <w:t xml:space="preserve">Those that use generic consent materials that are approved under the Tissue Bank’s own REC </w:t>
      </w:r>
      <w:r w:rsidR="62BC2C84" w:rsidRPr="00D713FE">
        <w:rPr>
          <w:rFonts w:asciiTheme="majorHAnsi" w:hAnsiTheme="majorHAnsi" w:cstheme="majorHAnsi"/>
        </w:rPr>
        <w:t>approval.</w:t>
      </w:r>
    </w:p>
    <w:p w14:paraId="0FC33081" w14:textId="77777777" w:rsidR="008D3C5B" w:rsidRPr="00D713FE" w:rsidRDefault="008D3C5B" w:rsidP="00D32193">
      <w:pPr>
        <w:pStyle w:val="ListParagraph"/>
        <w:numPr>
          <w:ilvl w:val="0"/>
          <w:numId w:val="16"/>
        </w:numPr>
        <w:ind w:left="142" w:right="112" w:firstLine="1"/>
        <w:jc w:val="both"/>
        <w:rPr>
          <w:rFonts w:asciiTheme="majorHAnsi" w:hAnsiTheme="majorHAnsi" w:cstheme="majorHAnsi"/>
        </w:rPr>
      </w:pPr>
      <w:r w:rsidRPr="00D713FE">
        <w:rPr>
          <w:rFonts w:asciiTheme="majorHAnsi" w:hAnsiTheme="majorHAnsi" w:cstheme="majorHAnsi"/>
        </w:rPr>
        <w:t>Those that have used consent materials approved under a different REC approval, and the original REC approval has lapsed (</w:t>
      </w:r>
      <w:proofErr w:type="gramStart"/>
      <w:r w:rsidRPr="00D713FE">
        <w:rPr>
          <w:rFonts w:asciiTheme="majorHAnsi" w:hAnsiTheme="majorHAnsi" w:cstheme="majorHAnsi"/>
        </w:rPr>
        <w:t>e.g.</w:t>
      </w:r>
      <w:proofErr w:type="gramEnd"/>
      <w:r w:rsidRPr="00D713FE">
        <w:rPr>
          <w:rFonts w:asciiTheme="majorHAnsi" w:hAnsiTheme="majorHAnsi" w:cstheme="majorHAnsi"/>
        </w:rPr>
        <w:t xml:space="preserve"> a clinical trial that has finished recruiting but the Trial Management Committee wish to retain the human samples collected as part of the trial.</w:t>
      </w:r>
    </w:p>
    <w:p w14:paraId="4E286E4C" w14:textId="77777777" w:rsidR="008D3C5B" w:rsidRPr="00D713FE" w:rsidRDefault="008D3C5B" w:rsidP="00D32193">
      <w:pPr>
        <w:pStyle w:val="ListParagraph"/>
        <w:numPr>
          <w:ilvl w:val="0"/>
          <w:numId w:val="16"/>
        </w:numPr>
        <w:ind w:left="142" w:right="112" w:firstLine="1"/>
        <w:jc w:val="both"/>
        <w:rPr>
          <w:rFonts w:asciiTheme="majorHAnsi" w:hAnsiTheme="majorHAnsi" w:cstheme="majorHAnsi"/>
        </w:rPr>
      </w:pPr>
      <w:r w:rsidRPr="00D713FE">
        <w:rPr>
          <w:rFonts w:asciiTheme="majorHAnsi" w:hAnsiTheme="majorHAnsi" w:cstheme="majorHAnsi"/>
        </w:rPr>
        <w:t>Collections of human material that have been collected outside the UK or are being supplied by other Institutions in the UK.</w:t>
      </w:r>
    </w:p>
    <w:p w14:paraId="001C449C" w14:textId="77777777" w:rsidR="008D3C5B" w:rsidRPr="00D713FE" w:rsidRDefault="008D3C5B" w:rsidP="00D32193">
      <w:pPr>
        <w:ind w:left="142" w:right="112" w:firstLine="1"/>
        <w:jc w:val="both"/>
        <w:rPr>
          <w:rFonts w:asciiTheme="majorHAnsi" w:hAnsiTheme="majorHAnsi" w:cstheme="majorHAnsi"/>
          <w:b/>
          <w:bCs/>
        </w:rPr>
      </w:pPr>
    </w:p>
    <w:p w14:paraId="11E34E35" w14:textId="32C585AE" w:rsidR="00E763BF" w:rsidRPr="00216A48" w:rsidRDefault="00E763BF" w:rsidP="00D32193">
      <w:pPr>
        <w:ind w:left="142" w:right="112" w:firstLine="1"/>
        <w:jc w:val="both"/>
        <w:rPr>
          <w:rFonts w:asciiTheme="majorHAnsi" w:hAnsiTheme="majorHAnsi" w:cstheme="majorHAnsi"/>
          <w:b/>
          <w:bCs/>
        </w:rPr>
      </w:pPr>
      <w:r w:rsidRPr="00216A48">
        <w:rPr>
          <w:rFonts w:asciiTheme="majorHAnsi" w:hAnsiTheme="majorHAnsi" w:cstheme="majorHAnsi"/>
          <w:b/>
          <w:bCs/>
        </w:rPr>
        <w:t>2.1</w:t>
      </w:r>
      <w:r w:rsidRPr="00216A48">
        <w:rPr>
          <w:rFonts w:asciiTheme="majorHAnsi" w:hAnsiTheme="majorHAnsi" w:cstheme="majorHAnsi"/>
        </w:rPr>
        <w:tab/>
      </w:r>
      <w:r w:rsidRPr="00216A48">
        <w:rPr>
          <w:rFonts w:asciiTheme="majorHAnsi" w:hAnsiTheme="majorHAnsi" w:cstheme="majorHAnsi"/>
          <w:b/>
          <w:bCs/>
        </w:rPr>
        <w:t>Donors consented using ICHTB approved consent material</w:t>
      </w:r>
    </w:p>
    <w:p w14:paraId="77416AEA" w14:textId="22CCF743" w:rsidR="00F03C0E" w:rsidRPr="00D713FE" w:rsidRDefault="00E763BF" w:rsidP="00D32193">
      <w:pPr>
        <w:pStyle w:val="NormalWeb"/>
        <w:ind w:left="142" w:right="112" w:firstLine="1"/>
        <w:jc w:val="both"/>
        <w:rPr>
          <w:rFonts w:asciiTheme="majorHAnsi" w:hAnsiTheme="majorHAnsi" w:cstheme="majorHAnsi"/>
          <w:sz w:val="24"/>
          <w:szCs w:val="24"/>
        </w:rPr>
      </w:pPr>
      <w:r w:rsidRPr="00D713FE">
        <w:rPr>
          <w:rFonts w:asciiTheme="majorHAnsi" w:hAnsiTheme="majorHAnsi" w:cstheme="majorHAnsi"/>
          <w:sz w:val="24"/>
          <w:szCs w:val="24"/>
        </w:rPr>
        <w:t xml:space="preserve">The majority of our sub-collections are those </w:t>
      </w:r>
      <w:r w:rsidR="00F03C0E" w:rsidRPr="00D713FE">
        <w:rPr>
          <w:rFonts w:asciiTheme="majorHAnsi" w:hAnsiTheme="majorHAnsi" w:cstheme="majorHAnsi"/>
          <w:sz w:val="24"/>
          <w:szCs w:val="24"/>
        </w:rPr>
        <w:t>that</w:t>
      </w:r>
      <w:r w:rsidRPr="00D713FE">
        <w:rPr>
          <w:rFonts w:asciiTheme="majorHAnsi" w:hAnsiTheme="majorHAnsi" w:cstheme="majorHAnsi"/>
          <w:sz w:val="24"/>
          <w:szCs w:val="24"/>
        </w:rPr>
        <w:t xml:space="preserve"> use Tissue Bank consent material(s)</w:t>
      </w:r>
      <w:r w:rsidR="008D3C5B" w:rsidRPr="00D713FE">
        <w:rPr>
          <w:rFonts w:asciiTheme="majorHAnsi" w:hAnsiTheme="majorHAnsi" w:cstheme="majorHAnsi"/>
          <w:sz w:val="24"/>
          <w:szCs w:val="24"/>
        </w:rPr>
        <w:t xml:space="preserve"> or materials covered by the Tissue Bank REC approval (17/WA/0161) </w:t>
      </w:r>
      <w:proofErr w:type="gramStart"/>
      <w:r w:rsidR="008D3C5B" w:rsidRPr="00D713FE">
        <w:rPr>
          <w:rFonts w:asciiTheme="majorHAnsi" w:hAnsiTheme="majorHAnsi" w:cstheme="majorHAnsi"/>
          <w:sz w:val="24"/>
          <w:szCs w:val="24"/>
        </w:rPr>
        <w:t>i.e.</w:t>
      </w:r>
      <w:proofErr w:type="gramEnd"/>
      <w:r w:rsidR="008D3C5B" w:rsidRPr="00D713FE">
        <w:rPr>
          <w:rFonts w:asciiTheme="majorHAnsi" w:hAnsiTheme="majorHAnsi" w:cstheme="majorHAnsi"/>
          <w:sz w:val="24"/>
          <w:szCs w:val="24"/>
        </w:rPr>
        <w:t xml:space="preserve"> St Marks Tissue Bank, The Trophoblast and Germ Cell Tumour Tissue Bank and the Recurrent Miscarriage and Fertility Clinics Tissue Bank,</w:t>
      </w:r>
      <w:r w:rsidRPr="00D713FE">
        <w:rPr>
          <w:rFonts w:asciiTheme="majorHAnsi" w:hAnsiTheme="majorHAnsi" w:cstheme="majorHAnsi"/>
          <w:sz w:val="24"/>
          <w:szCs w:val="24"/>
        </w:rPr>
        <w:t xml:space="preserve"> to consent donors and materials are stored on ICHT/ICL premises.</w:t>
      </w:r>
      <w:r w:rsidR="00411FE3">
        <w:rPr>
          <w:rFonts w:asciiTheme="majorHAnsi" w:hAnsiTheme="majorHAnsi" w:cstheme="majorHAnsi"/>
          <w:sz w:val="24"/>
          <w:szCs w:val="24"/>
        </w:rPr>
        <w:t xml:space="preserve"> </w:t>
      </w:r>
      <w:r w:rsidR="00F03C0E" w:rsidRPr="00D713FE">
        <w:rPr>
          <w:rFonts w:asciiTheme="majorHAnsi" w:hAnsiTheme="majorHAnsi" w:cstheme="majorHAnsi"/>
          <w:sz w:val="24"/>
          <w:szCs w:val="24"/>
        </w:rPr>
        <w:t xml:space="preserve">The SOPs that cover recording of consent using Tissue Bank consent materials are: </w:t>
      </w:r>
    </w:p>
    <w:p w14:paraId="1DDB1C8B" w14:textId="1F16B832" w:rsidR="00F03C0E" w:rsidRPr="00D713FE" w:rsidRDefault="00F03C0E" w:rsidP="00D32193">
      <w:pPr>
        <w:pStyle w:val="NormalWeb"/>
        <w:numPr>
          <w:ilvl w:val="0"/>
          <w:numId w:val="14"/>
        </w:numPr>
        <w:spacing w:before="0" w:beforeAutospacing="0" w:after="0" w:afterAutospacing="0"/>
        <w:ind w:left="142" w:right="112" w:firstLine="1"/>
        <w:jc w:val="both"/>
        <w:rPr>
          <w:rFonts w:asciiTheme="majorHAnsi" w:hAnsiTheme="majorHAnsi" w:cstheme="majorHAnsi"/>
          <w:color w:val="000000"/>
          <w:sz w:val="24"/>
          <w:szCs w:val="24"/>
        </w:rPr>
      </w:pPr>
      <w:r w:rsidRPr="00D713FE">
        <w:rPr>
          <w:rFonts w:asciiTheme="majorHAnsi" w:hAnsiTheme="majorHAnsi" w:cstheme="majorHAnsi"/>
          <w:color w:val="000000" w:themeColor="text1"/>
          <w:sz w:val="24"/>
          <w:szCs w:val="24"/>
        </w:rPr>
        <w:t xml:space="preserve">TB-SOP-002CD: Recording consent for leftover </w:t>
      </w:r>
      <w:r w:rsidR="002956B6" w:rsidRPr="00D713FE">
        <w:rPr>
          <w:rFonts w:asciiTheme="majorHAnsi" w:hAnsiTheme="majorHAnsi" w:cstheme="majorHAnsi"/>
          <w:color w:val="000000" w:themeColor="text1"/>
          <w:sz w:val="24"/>
          <w:szCs w:val="24"/>
        </w:rPr>
        <w:t>tissue,</w:t>
      </w:r>
      <w:r w:rsidRPr="00D713FE">
        <w:rPr>
          <w:rFonts w:asciiTheme="majorHAnsi" w:hAnsiTheme="majorHAnsi" w:cstheme="majorHAnsi"/>
          <w:color w:val="000000" w:themeColor="text1"/>
          <w:sz w:val="24"/>
          <w:szCs w:val="24"/>
        </w:rPr>
        <w:t xml:space="preserve"> </w:t>
      </w:r>
    </w:p>
    <w:p w14:paraId="09054A4C" w14:textId="77777777" w:rsidR="00F03C0E" w:rsidRPr="00D713FE" w:rsidRDefault="00F03C0E" w:rsidP="00D32193">
      <w:pPr>
        <w:pStyle w:val="NormalWeb"/>
        <w:numPr>
          <w:ilvl w:val="0"/>
          <w:numId w:val="14"/>
        </w:numPr>
        <w:spacing w:before="0" w:beforeAutospacing="0" w:after="0" w:afterAutospacing="0"/>
        <w:ind w:left="142" w:right="112" w:firstLine="1"/>
        <w:jc w:val="both"/>
        <w:rPr>
          <w:rStyle w:val="apple-converted-space"/>
          <w:rFonts w:asciiTheme="majorHAnsi" w:hAnsiTheme="majorHAnsi" w:cstheme="majorHAnsi"/>
          <w:color w:val="000000"/>
          <w:sz w:val="24"/>
          <w:szCs w:val="24"/>
        </w:rPr>
      </w:pPr>
      <w:r w:rsidRPr="00D713FE">
        <w:rPr>
          <w:rFonts w:asciiTheme="majorHAnsi" w:hAnsiTheme="majorHAnsi" w:cstheme="majorHAnsi"/>
          <w:color w:val="000000" w:themeColor="text1"/>
          <w:sz w:val="24"/>
          <w:szCs w:val="24"/>
        </w:rPr>
        <w:t>TB-SOP-003CD: Recording consent for extra tissue</w:t>
      </w:r>
      <w:r w:rsidRPr="00D713FE">
        <w:rPr>
          <w:rStyle w:val="apple-converted-space"/>
          <w:rFonts w:asciiTheme="majorHAnsi" w:hAnsiTheme="majorHAnsi" w:cstheme="majorHAnsi"/>
          <w:color w:val="000000" w:themeColor="text1"/>
          <w:sz w:val="24"/>
          <w:szCs w:val="24"/>
        </w:rPr>
        <w:t xml:space="preserve">, </w:t>
      </w:r>
    </w:p>
    <w:p w14:paraId="38C45583" w14:textId="75AA44FB" w:rsidR="00F03C0E" w:rsidRPr="00D713FE" w:rsidRDefault="00F03C0E" w:rsidP="00D32193">
      <w:pPr>
        <w:pStyle w:val="NormalWeb"/>
        <w:numPr>
          <w:ilvl w:val="0"/>
          <w:numId w:val="14"/>
        </w:numPr>
        <w:spacing w:before="0" w:beforeAutospacing="0" w:after="0" w:afterAutospacing="0"/>
        <w:ind w:left="142" w:right="112" w:firstLine="1"/>
        <w:jc w:val="both"/>
        <w:rPr>
          <w:rStyle w:val="apple-converted-space"/>
          <w:rFonts w:asciiTheme="majorHAnsi" w:hAnsiTheme="majorHAnsi" w:cstheme="majorHAnsi"/>
          <w:color w:val="000000"/>
          <w:sz w:val="24"/>
          <w:szCs w:val="24"/>
        </w:rPr>
      </w:pPr>
      <w:r w:rsidRPr="00D713FE">
        <w:rPr>
          <w:rStyle w:val="apple-converted-space"/>
          <w:rFonts w:asciiTheme="majorHAnsi" w:hAnsiTheme="majorHAnsi" w:cstheme="majorHAnsi"/>
          <w:color w:val="000000" w:themeColor="text1"/>
          <w:sz w:val="24"/>
          <w:szCs w:val="24"/>
        </w:rPr>
        <w:t>TB-SOP-004CD</w:t>
      </w:r>
      <w:r w:rsidR="00BF086A" w:rsidRPr="00D713FE">
        <w:rPr>
          <w:rStyle w:val="apple-converted-space"/>
          <w:rFonts w:asciiTheme="majorHAnsi" w:hAnsiTheme="majorHAnsi" w:cstheme="majorHAnsi"/>
          <w:color w:val="000000" w:themeColor="text1"/>
          <w:sz w:val="24"/>
          <w:szCs w:val="24"/>
        </w:rPr>
        <w:t xml:space="preserve">: </w:t>
      </w:r>
      <w:r w:rsidRPr="00D713FE">
        <w:rPr>
          <w:rStyle w:val="apple-converted-space"/>
          <w:rFonts w:asciiTheme="majorHAnsi" w:hAnsiTheme="majorHAnsi" w:cstheme="majorHAnsi"/>
          <w:color w:val="000000" w:themeColor="text1"/>
          <w:sz w:val="24"/>
          <w:szCs w:val="24"/>
        </w:rPr>
        <w:t xml:space="preserve">Recording consent for healthy volunteers and </w:t>
      </w:r>
    </w:p>
    <w:p w14:paraId="5747815D" w14:textId="5F11438D" w:rsidR="00F03C0E" w:rsidRPr="00D713FE" w:rsidRDefault="00F03C0E" w:rsidP="00D32193">
      <w:pPr>
        <w:pStyle w:val="NormalWeb"/>
        <w:numPr>
          <w:ilvl w:val="0"/>
          <w:numId w:val="14"/>
        </w:numPr>
        <w:spacing w:before="0" w:beforeAutospacing="0" w:after="0" w:afterAutospacing="0"/>
        <w:ind w:left="142" w:right="112" w:firstLine="1"/>
        <w:jc w:val="both"/>
        <w:rPr>
          <w:rStyle w:val="apple-converted-space"/>
          <w:rFonts w:asciiTheme="majorHAnsi" w:hAnsiTheme="majorHAnsi" w:cstheme="majorHAnsi"/>
          <w:color w:val="000000"/>
          <w:sz w:val="24"/>
          <w:szCs w:val="24"/>
        </w:rPr>
      </w:pPr>
      <w:r w:rsidRPr="00D713FE">
        <w:rPr>
          <w:rStyle w:val="apple-converted-space"/>
          <w:rFonts w:asciiTheme="majorHAnsi" w:hAnsiTheme="majorHAnsi" w:cstheme="majorHAnsi"/>
          <w:color w:val="000000" w:themeColor="text1"/>
          <w:sz w:val="24"/>
          <w:szCs w:val="24"/>
        </w:rPr>
        <w:t>TB-SOP-005CD: Recording consent for xenograft studies</w:t>
      </w:r>
    </w:p>
    <w:p w14:paraId="07FD28F1" w14:textId="77777777" w:rsidR="008D3C5B" w:rsidRPr="00D713FE" w:rsidRDefault="008D3C5B" w:rsidP="00D32193">
      <w:pPr>
        <w:pStyle w:val="NormalWeb"/>
        <w:spacing w:before="0" w:beforeAutospacing="0" w:after="0" w:afterAutospacing="0"/>
        <w:ind w:left="142" w:right="112" w:firstLine="1"/>
        <w:rPr>
          <w:rStyle w:val="apple-converted-space"/>
          <w:rFonts w:asciiTheme="majorHAnsi" w:hAnsiTheme="majorHAnsi" w:cstheme="majorHAnsi"/>
          <w:color w:val="000000"/>
          <w:sz w:val="24"/>
          <w:szCs w:val="24"/>
        </w:rPr>
      </w:pPr>
    </w:p>
    <w:p w14:paraId="583BF08A" w14:textId="5FAD4C0B" w:rsidR="00E763BF" w:rsidRPr="00647C3E" w:rsidRDefault="008D3C5B" w:rsidP="00647C3E">
      <w:pPr>
        <w:pStyle w:val="NormalWeb"/>
        <w:spacing w:before="0" w:beforeAutospacing="0" w:after="0" w:afterAutospacing="0"/>
        <w:ind w:left="142" w:right="112" w:firstLine="1"/>
        <w:rPr>
          <w:rFonts w:asciiTheme="majorHAnsi" w:hAnsiTheme="majorHAnsi" w:cstheme="majorHAnsi"/>
          <w:color w:val="000000"/>
          <w:sz w:val="24"/>
          <w:szCs w:val="24"/>
        </w:rPr>
      </w:pPr>
      <w:r w:rsidRPr="00D713FE">
        <w:rPr>
          <w:rStyle w:val="apple-converted-space"/>
          <w:rFonts w:asciiTheme="majorHAnsi" w:hAnsiTheme="majorHAnsi" w:cstheme="majorHAnsi"/>
          <w:color w:val="000000"/>
          <w:sz w:val="24"/>
          <w:szCs w:val="24"/>
        </w:rPr>
        <w:t>The current versions of these SOPs are available from the Tissue Bank website.</w:t>
      </w:r>
    </w:p>
    <w:p w14:paraId="0E87BB32" w14:textId="77777777" w:rsidR="00E763BF" w:rsidRPr="00D713FE" w:rsidRDefault="00E763BF" w:rsidP="5B062082">
      <w:pPr>
        <w:ind w:left="142" w:right="112"/>
        <w:jc w:val="both"/>
        <w:rPr>
          <w:rFonts w:asciiTheme="majorHAnsi" w:hAnsiTheme="majorHAnsi" w:cstheme="majorBidi"/>
        </w:rPr>
      </w:pPr>
    </w:p>
    <w:p w14:paraId="08253792" w14:textId="59C9FA77" w:rsidR="00E763BF" w:rsidRPr="00D713FE" w:rsidRDefault="00E763BF" w:rsidP="00D32193">
      <w:pPr>
        <w:ind w:left="142" w:right="112" w:firstLine="1"/>
        <w:jc w:val="both"/>
        <w:rPr>
          <w:rFonts w:asciiTheme="majorHAnsi" w:hAnsiTheme="majorHAnsi" w:cstheme="majorHAnsi"/>
        </w:rPr>
      </w:pPr>
      <w:r w:rsidRPr="00D713FE">
        <w:rPr>
          <w:rFonts w:asciiTheme="majorHAnsi" w:hAnsiTheme="majorHAnsi" w:cstheme="majorHAnsi"/>
        </w:rPr>
        <w:t>Sub-collection registration enables PIs to collect and store material but not to use material from their collection.</w:t>
      </w:r>
      <w:r w:rsidR="00411FE3">
        <w:rPr>
          <w:rFonts w:asciiTheme="majorHAnsi" w:hAnsiTheme="majorHAnsi" w:cstheme="majorHAnsi"/>
        </w:rPr>
        <w:t xml:space="preserve"> </w:t>
      </w:r>
      <w:r w:rsidRPr="00D713FE">
        <w:rPr>
          <w:rFonts w:asciiTheme="majorHAnsi" w:hAnsiTheme="majorHAnsi" w:cstheme="majorHAnsi"/>
        </w:rPr>
        <w:t>To use material for research they must, in addition, register a separate project that must be approved by the Applic</w:t>
      </w:r>
      <w:r w:rsidR="00EA42E8" w:rsidRPr="00D713FE">
        <w:rPr>
          <w:rFonts w:asciiTheme="majorHAnsi" w:hAnsiTheme="majorHAnsi" w:cstheme="majorHAnsi"/>
        </w:rPr>
        <w:t>ation Review Panel (see Figure 2</w:t>
      </w:r>
      <w:r w:rsidRPr="00D713FE">
        <w:rPr>
          <w:rFonts w:asciiTheme="majorHAnsi" w:hAnsiTheme="majorHAnsi" w:cstheme="majorHAnsi"/>
        </w:rPr>
        <w:t>).</w:t>
      </w:r>
      <w:r w:rsidR="00411FE3">
        <w:rPr>
          <w:rFonts w:asciiTheme="majorHAnsi" w:hAnsiTheme="majorHAnsi" w:cstheme="majorHAnsi"/>
        </w:rPr>
        <w:t xml:space="preserve"> </w:t>
      </w:r>
      <w:r w:rsidRPr="00D713FE">
        <w:rPr>
          <w:rFonts w:asciiTheme="majorHAnsi" w:hAnsiTheme="majorHAnsi" w:cstheme="majorHAnsi"/>
        </w:rPr>
        <w:t>Multiple different projects can be issued samples from each sub-collection, but each project must be approved via the mechanism agreed with REC.</w:t>
      </w:r>
    </w:p>
    <w:p w14:paraId="16D19DAE" w14:textId="77777777" w:rsidR="00E763BF" w:rsidRPr="00D713FE" w:rsidRDefault="00E763BF" w:rsidP="00D32193">
      <w:pPr>
        <w:ind w:left="142" w:right="112" w:firstLine="1"/>
        <w:jc w:val="both"/>
        <w:rPr>
          <w:rFonts w:asciiTheme="majorHAnsi" w:hAnsiTheme="majorHAnsi" w:cstheme="majorHAnsi"/>
        </w:rPr>
      </w:pPr>
    </w:p>
    <w:p w14:paraId="6736D31A" w14:textId="496D21DC" w:rsidR="00F470CE" w:rsidRPr="00216A48" w:rsidRDefault="00E763BF" w:rsidP="003C142A">
      <w:pPr>
        <w:ind w:left="142" w:right="112" w:firstLine="1"/>
        <w:jc w:val="both"/>
        <w:rPr>
          <w:rFonts w:asciiTheme="majorHAnsi" w:hAnsiTheme="majorHAnsi" w:cstheme="majorHAnsi"/>
          <w:b/>
        </w:rPr>
      </w:pPr>
      <w:r w:rsidRPr="00216A48">
        <w:rPr>
          <w:rFonts w:asciiTheme="majorHAnsi" w:hAnsiTheme="majorHAnsi" w:cstheme="majorHAnsi"/>
          <w:b/>
        </w:rPr>
        <w:t>2.2</w:t>
      </w:r>
      <w:r w:rsidRPr="00216A48">
        <w:rPr>
          <w:rFonts w:asciiTheme="majorHAnsi" w:hAnsiTheme="majorHAnsi" w:cstheme="majorHAnsi"/>
          <w:b/>
        </w:rPr>
        <w:tab/>
        <w:t>Donors consented using separate specific HRA approved consent material (</w:t>
      </w:r>
      <w:proofErr w:type="gramStart"/>
      <w:r w:rsidRPr="00216A48">
        <w:rPr>
          <w:rFonts w:asciiTheme="majorHAnsi" w:hAnsiTheme="majorHAnsi" w:cstheme="majorHAnsi"/>
          <w:b/>
        </w:rPr>
        <w:t>i.e.</w:t>
      </w:r>
      <w:proofErr w:type="gramEnd"/>
      <w:r w:rsidRPr="00216A48">
        <w:rPr>
          <w:rFonts w:asciiTheme="majorHAnsi" w:hAnsiTheme="majorHAnsi" w:cstheme="majorHAnsi"/>
          <w:b/>
        </w:rPr>
        <w:t xml:space="preserve"> not part of th</w:t>
      </w:r>
      <w:r w:rsidR="00C76E94" w:rsidRPr="00216A48">
        <w:rPr>
          <w:rFonts w:asciiTheme="majorHAnsi" w:hAnsiTheme="majorHAnsi" w:cstheme="majorHAnsi"/>
          <w:b/>
        </w:rPr>
        <w:t>e Tissue Bank’s</w:t>
      </w:r>
      <w:r w:rsidRPr="00216A48">
        <w:rPr>
          <w:rFonts w:asciiTheme="majorHAnsi" w:hAnsiTheme="majorHAnsi" w:cstheme="majorHAnsi"/>
          <w:b/>
        </w:rPr>
        <w:t xml:space="preserve"> current REC approval)</w:t>
      </w:r>
    </w:p>
    <w:p w14:paraId="1DE9ABA3" w14:textId="77777777" w:rsidR="003C142A" w:rsidRPr="00216A48" w:rsidRDefault="003C142A" w:rsidP="003C142A">
      <w:pPr>
        <w:ind w:left="142" w:right="112" w:firstLine="1"/>
        <w:jc w:val="both"/>
        <w:rPr>
          <w:rFonts w:asciiTheme="majorHAnsi" w:hAnsiTheme="majorHAnsi" w:cstheme="majorHAnsi"/>
          <w:b/>
        </w:rPr>
      </w:pPr>
    </w:p>
    <w:p w14:paraId="775AC77B" w14:textId="5369F349" w:rsidR="00F470CE" w:rsidRPr="00D713FE" w:rsidRDefault="00F470CE" w:rsidP="00680994">
      <w:pPr>
        <w:ind w:left="142" w:right="112" w:firstLine="578"/>
        <w:jc w:val="both"/>
        <w:rPr>
          <w:rFonts w:asciiTheme="majorHAnsi" w:hAnsiTheme="majorHAnsi" w:cstheme="majorHAnsi"/>
          <w:b/>
        </w:rPr>
      </w:pPr>
      <w:r w:rsidRPr="00D713FE">
        <w:rPr>
          <w:rFonts w:asciiTheme="majorHAnsi" w:hAnsiTheme="majorHAnsi" w:cstheme="majorHAnsi"/>
          <w:b/>
        </w:rPr>
        <w:t>2.2.1 Clinical trials and human material</w:t>
      </w:r>
    </w:p>
    <w:p w14:paraId="06BBD37A" w14:textId="60B53E72" w:rsidR="00F470CE" w:rsidRPr="00D713FE" w:rsidRDefault="00F470CE" w:rsidP="00D32193">
      <w:pPr>
        <w:ind w:left="142" w:right="112" w:firstLine="1"/>
        <w:jc w:val="both"/>
        <w:rPr>
          <w:rFonts w:asciiTheme="majorHAnsi" w:hAnsiTheme="majorHAnsi" w:cstheme="majorHAnsi"/>
        </w:rPr>
      </w:pPr>
      <w:proofErr w:type="gramStart"/>
      <w:r w:rsidRPr="00D713FE">
        <w:rPr>
          <w:rFonts w:asciiTheme="majorHAnsi" w:hAnsiTheme="majorHAnsi" w:cstheme="majorHAnsi"/>
        </w:rPr>
        <w:t>The majority of</w:t>
      </w:r>
      <w:proofErr w:type="gramEnd"/>
      <w:r w:rsidRPr="00D713FE">
        <w:rPr>
          <w:rFonts w:asciiTheme="majorHAnsi" w:hAnsiTheme="majorHAnsi" w:cstheme="majorHAnsi"/>
        </w:rPr>
        <w:t xml:space="preserve"> collections of human material that form part of a clinical study which involves additional interventions in the clinical pathway of the patient</w:t>
      </w:r>
      <w:r w:rsidR="00BF086A" w:rsidRPr="00D713FE">
        <w:rPr>
          <w:rFonts w:asciiTheme="majorHAnsi" w:hAnsiTheme="majorHAnsi" w:cstheme="majorHAnsi"/>
        </w:rPr>
        <w:t>,</w:t>
      </w:r>
      <w:r w:rsidRPr="00D713FE">
        <w:rPr>
          <w:rFonts w:asciiTheme="majorHAnsi" w:hAnsiTheme="majorHAnsi" w:cstheme="majorHAnsi"/>
        </w:rPr>
        <w:t xml:space="preserve"> are required to have separate project specific REC </w:t>
      </w:r>
      <w:r w:rsidR="002956B6" w:rsidRPr="00D713FE">
        <w:rPr>
          <w:rFonts w:asciiTheme="majorHAnsi" w:hAnsiTheme="majorHAnsi" w:cstheme="majorHAnsi"/>
        </w:rPr>
        <w:t>approval.</w:t>
      </w:r>
      <w:r w:rsidR="00411FE3">
        <w:rPr>
          <w:rFonts w:asciiTheme="majorHAnsi" w:hAnsiTheme="majorHAnsi" w:cstheme="majorHAnsi"/>
        </w:rPr>
        <w:t xml:space="preserve"> </w:t>
      </w:r>
      <w:r w:rsidRPr="00D713FE">
        <w:rPr>
          <w:rFonts w:asciiTheme="majorHAnsi" w:hAnsiTheme="majorHAnsi" w:cstheme="majorHAnsi"/>
        </w:rPr>
        <w:t xml:space="preserve">These do not need to be registered under the HTA Licence and should be registered via the </w:t>
      </w:r>
      <w:r w:rsidR="002956B6" w:rsidRPr="00D713FE">
        <w:rPr>
          <w:rFonts w:asciiTheme="majorHAnsi" w:hAnsiTheme="majorHAnsi" w:cstheme="majorHAnsi"/>
        </w:rPr>
        <w:t>RGIT</w:t>
      </w:r>
      <w:r w:rsidRPr="00D713FE">
        <w:rPr>
          <w:rFonts w:asciiTheme="majorHAnsi" w:hAnsiTheme="majorHAnsi" w:cstheme="majorHAnsi"/>
        </w:rPr>
        <w:t>’s DOCUMAS system, which includes a specific tab on which information about human samples taken as part of the trial can be recorded.</w:t>
      </w:r>
      <w:r w:rsidR="00411FE3">
        <w:rPr>
          <w:rFonts w:asciiTheme="majorHAnsi" w:hAnsiTheme="majorHAnsi" w:cstheme="majorHAnsi"/>
        </w:rPr>
        <w:t xml:space="preserve"> </w:t>
      </w:r>
      <w:r w:rsidRPr="00D713FE">
        <w:rPr>
          <w:rFonts w:asciiTheme="majorHAnsi" w:hAnsiTheme="majorHAnsi" w:cstheme="majorHAnsi"/>
        </w:rPr>
        <w:t>Frequently, biological samples are retained when the trial has completed recruitment and the REC approval for the trial has lapsed.</w:t>
      </w:r>
      <w:r w:rsidR="00FA4E94">
        <w:rPr>
          <w:rFonts w:asciiTheme="majorHAnsi" w:hAnsiTheme="majorHAnsi" w:cstheme="majorHAnsi"/>
        </w:rPr>
        <w:t xml:space="preserve"> </w:t>
      </w:r>
      <w:r w:rsidRPr="00D713FE">
        <w:rPr>
          <w:rFonts w:asciiTheme="majorHAnsi" w:hAnsiTheme="majorHAnsi" w:cstheme="majorHAnsi"/>
        </w:rPr>
        <w:t>At this point any remaining samples need to be brought under the protection of the HTA Research Licence.</w:t>
      </w:r>
      <w:r w:rsidR="00411FE3">
        <w:rPr>
          <w:rFonts w:asciiTheme="majorHAnsi" w:hAnsiTheme="majorHAnsi" w:cstheme="majorHAnsi"/>
        </w:rPr>
        <w:t xml:space="preserve"> </w:t>
      </w:r>
      <w:r w:rsidRPr="00D713FE">
        <w:rPr>
          <w:rFonts w:asciiTheme="majorHAnsi" w:hAnsiTheme="majorHAnsi" w:cstheme="majorHAnsi"/>
        </w:rPr>
        <w:t>These collections are</w:t>
      </w:r>
      <w:r w:rsidR="002C4E3F" w:rsidRPr="00D713FE">
        <w:rPr>
          <w:rFonts w:asciiTheme="majorHAnsi" w:hAnsiTheme="majorHAnsi" w:cstheme="majorHAnsi"/>
        </w:rPr>
        <w:t xml:space="preserve"> then</w:t>
      </w:r>
      <w:r w:rsidRPr="00D713FE">
        <w:rPr>
          <w:rFonts w:asciiTheme="majorHAnsi" w:hAnsiTheme="majorHAnsi" w:cstheme="majorHAnsi"/>
        </w:rPr>
        <w:t xml:space="preserve"> </w:t>
      </w:r>
      <w:r w:rsidR="002C4E3F" w:rsidRPr="00D713FE">
        <w:rPr>
          <w:rFonts w:asciiTheme="majorHAnsi" w:hAnsiTheme="majorHAnsi" w:cstheme="majorHAnsi"/>
        </w:rPr>
        <w:t>treated as “imported” collections (see 2.3 below)</w:t>
      </w:r>
    </w:p>
    <w:p w14:paraId="6EEE694A" w14:textId="77777777" w:rsidR="00F470CE" w:rsidRPr="00D713FE" w:rsidRDefault="00F470CE" w:rsidP="00D32193">
      <w:pPr>
        <w:ind w:left="142" w:right="112" w:firstLine="1"/>
        <w:jc w:val="both"/>
        <w:rPr>
          <w:rFonts w:asciiTheme="majorHAnsi" w:hAnsiTheme="majorHAnsi" w:cstheme="majorHAnsi"/>
        </w:rPr>
      </w:pPr>
    </w:p>
    <w:p w14:paraId="3D4D7B6A" w14:textId="52406090" w:rsidR="00F470CE" w:rsidRPr="00D713FE" w:rsidRDefault="00F470CE" w:rsidP="00680994">
      <w:pPr>
        <w:ind w:left="142" w:right="112" w:firstLine="578"/>
        <w:jc w:val="both"/>
        <w:rPr>
          <w:rFonts w:asciiTheme="majorHAnsi" w:hAnsiTheme="majorHAnsi" w:cstheme="majorHAnsi"/>
          <w:b/>
          <w:bCs/>
        </w:rPr>
      </w:pPr>
      <w:r w:rsidRPr="00D713FE">
        <w:rPr>
          <w:rFonts w:asciiTheme="majorHAnsi" w:hAnsiTheme="majorHAnsi" w:cstheme="majorHAnsi"/>
        </w:rPr>
        <w:t xml:space="preserve"> </w:t>
      </w:r>
      <w:r w:rsidR="6CB6F887" w:rsidRPr="00D713FE">
        <w:rPr>
          <w:rFonts w:asciiTheme="majorHAnsi" w:hAnsiTheme="majorHAnsi" w:cstheme="majorHAnsi"/>
          <w:b/>
          <w:bCs/>
        </w:rPr>
        <w:t>2.2.2 Sub</w:t>
      </w:r>
      <w:r w:rsidR="002C4E3F" w:rsidRPr="00D713FE">
        <w:rPr>
          <w:rFonts w:asciiTheme="majorHAnsi" w:hAnsiTheme="majorHAnsi" w:cstheme="majorHAnsi"/>
          <w:b/>
          <w:bCs/>
        </w:rPr>
        <w:t>-collections not covered under 2.2.1 that require cover of the HTA Licence</w:t>
      </w:r>
    </w:p>
    <w:p w14:paraId="0FEDFF6A" w14:textId="6519B511" w:rsidR="002C4E3F" w:rsidRPr="00D713FE" w:rsidRDefault="00E763BF" w:rsidP="00D32193">
      <w:pPr>
        <w:ind w:left="142" w:right="112" w:firstLine="1"/>
        <w:jc w:val="both"/>
        <w:rPr>
          <w:rFonts w:asciiTheme="majorHAnsi" w:hAnsiTheme="majorHAnsi" w:cstheme="majorHAnsi"/>
        </w:rPr>
      </w:pPr>
      <w:r w:rsidRPr="00D713FE">
        <w:rPr>
          <w:rFonts w:asciiTheme="majorHAnsi" w:hAnsiTheme="majorHAnsi" w:cstheme="majorHAnsi"/>
        </w:rPr>
        <w:t xml:space="preserve">These are sub-collections where alternative consent </w:t>
      </w:r>
      <w:r w:rsidR="002956B6" w:rsidRPr="00D713FE">
        <w:rPr>
          <w:rFonts w:asciiTheme="majorHAnsi" w:hAnsiTheme="majorHAnsi" w:cstheme="majorHAnsi"/>
        </w:rPr>
        <w:t>materials,</w:t>
      </w:r>
      <w:r w:rsidRPr="00D713FE">
        <w:rPr>
          <w:rFonts w:asciiTheme="majorHAnsi" w:hAnsiTheme="majorHAnsi" w:cstheme="majorHAnsi"/>
        </w:rPr>
        <w:t xml:space="preserve"> are used to consent donors and consent is on-going from donors in our Trust or College</w:t>
      </w:r>
      <w:r w:rsidR="008D3C5B" w:rsidRPr="00D713FE">
        <w:rPr>
          <w:rFonts w:asciiTheme="majorHAnsi" w:hAnsiTheme="majorHAnsi" w:cstheme="majorHAnsi"/>
        </w:rPr>
        <w:t xml:space="preserve"> or as part of a national collection</w:t>
      </w:r>
      <w:r w:rsidRPr="00D713FE">
        <w:rPr>
          <w:rFonts w:asciiTheme="majorHAnsi" w:hAnsiTheme="majorHAnsi" w:cstheme="majorHAnsi"/>
        </w:rPr>
        <w:t>.</w:t>
      </w:r>
      <w:r w:rsidR="00411FE3">
        <w:rPr>
          <w:rFonts w:asciiTheme="majorHAnsi" w:hAnsiTheme="majorHAnsi" w:cstheme="majorHAnsi"/>
        </w:rPr>
        <w:t xml:space="preserve"> </w:t>
      </w:r>
      <w:r w:rsidRPr="00D713FE">
        <w:rPr>
          <w:rFonts w:asciiTheme="majorHAnsi" w:hAnsiTheme="majorHAnsi" w:cstheme="majorHAnsi"/>
        </w:rPr>
        <w:t>These must have separate HRA approval</w:t>
      </w:r>
      <w:r w:rsidR="002C4E3F" w:rsidRPr="00D713FE">
        <w:rPr>
          <w:rFonts w:asciiTheme="majorHAnsi" w:hAnsiTheme="majorHAnsi" w:cstheme="majorHAnsi"/>
        </w:rPr>
        <w:t xml:space="preserve"> as a Research Tissue Bank</w:t>
      </w:r>
      <w:r w:rsidR="008D3C5B" w:rsidRPr="00D713FE">
        <w:rPr>
          <w:rFonts w:asciiTheme="majorHAnsi" w:hAnsiTheme="majorHAnsi" w:cstheme="majorHAnsi"/>
        </w:rPr>
        <w:t xml:space="preserve"> (</w:t>
      </w:r>
      <w:proofErr w:type="gramStart"/>
      <w:r w:rsidR="008D3C5B" w:rsidRPr="00D713FE">
        <w:rPr>
          <w:rFonts w:asciiTheme="majorHAnsi" w:hAnsiTheme="majorHAnsi" w:cstheme="majorHAnsi"/>
        </w:rPr>
        <w:t>e.g.</w:t>
      </w:r>
      <w:proofErr w:type="gramEnd"/>
      <w:r w:rsidR="008D3C5B" w:rsidRPr="00D713FE">
        <w:rPr>
          <w:rFonts w:asciiTheme="majorHAnsi" w:hAnsiTheme="majorHAnsi" w:cstheme="majorHAnsi"/>
        </w:rPr>
        <w:t xml:space="preserve"> the </w:t>
      </w:r>
      <w:proofErr w:type="spellStart"/>
      <w:r w:rsidR="008D3C5B" w:rsidRPr="00D713FE">
        <w:rPr>
          <w:rFonts w:asciiTheme="majorHAnsi" w:hAnsiTheme="majorHAnsi" w:cstheme="majorHAnsi"/>
        </w:rPr>
        <w:t>Parkinsons</w:t>
      </w:r>
      <w:proofErr w:type="spellEnd"/>
      <w:r w:rsidR="008D3C5B" w:rsidRPr="00D713FE">
        <w:rPr>
          <w:rFonts w:asciiTheme="majorHAnsi" w:hAnsiTheme="majorHAnsi" w:cstheme="majorHAnsi"/>
        </w:rPr>
        <w:t xml:space="preserve"> and Multiple Sclerosis Tissue Bank)</w:t>
      </w:r>
      <w:r w:rsidRPr="00D713FE">
        <w:rPr>
          <w:rFonts w:asciiTheme="majorHAnsi" w:hAnsiTheme="majorHAnsi" w:cstheme="majorHAnsi"/>
        </w:rPr>
        <w:t xml:space="preserve"> and PIs </w:t>
      </w:r>
      <w:r w:rsidRPr="00D713FE">
        <w:rPr>
          <w:rFonts w:asciiTheme="majorHAnsi" w:hAnsiTheme="majorHAnsi" w:cstheme="majorHAnsi"/>
        </w:rPr>
        <w:lastRenderedPageBreak/>
        <w:t>must provide a</w:t>
      </w:r>
      <w:r w:rsidR="008D3C5B" w:rsidRPr="00D713FE">
        <w:rPr>
          <w:rFonts w:asciiTheme="majorHAnsi" w:hAnsiTheme="majorHAnsi" w:cstheme="majorHAnsi"/>
        </w:rPr>
        <w:t xml:space="preserve"> blank</w:t>
      </w:r>
      <w:r w:rsidRPr="00D713FE">
        <w:rPr>
          <w:rFonts w:asciiTheme="majorHAnsi" w:hAnsiTheme="majorHAnsi" w:cstheme="majorHAnsi"/>
        </w:rPr>
        <w:t xml:space="preserve"> copy of the consent form/PIS and a copy of their HRA approval letter.</w:t>
      </w:r>
      <w:r w:rsidR="00FA4E94">
        <w:rPr>
          <w:rFonts w:asciiTheme="majorHAnsi" w:hAnsiTheme="majorHAnsi" w:cstheme="majorHAnsi"/>
        </w:rPr>
        <w:t xml:space="preserve"> </w:t>
      </w:r>
      <w:r w:rsidR="008D3C5B" w:rsidRPr="00D713FE">
        <w:rPr>
          <w:rFonts w:asciiTheme="majorHAnsi" w:hAnsiTheme="majorHAnsi" w:cstheme="majorHAnsi"/>
        </w:rPr>
        <w:t>Research Tissue Banks must hold their collections under an HTA Licence.</w:t>
      </w:r>
      <w:r w:rsidRPr="00D713FE">
        <w:rPr>
          <w:rFonts w:asciiTheme="majorHAnsi" w:hAnsiTheme="majorHAnsi" w:cstheme="majorHAnsi"/>
        </w:rPr>
        <w:t xml:space="preserve"> PIs must also provide amendments to the REC approval when made.</w:t>
      </w:r>
      <w:r w:rsidR="00411FE3">
        <w:rPr>
          <w:rFonts w:asciiTheme="majorHAnsi" w:hAnsiTheme="majorHAnsi" w:cstheme="majorHAnsi"/>
        </w:rPr>
        <w:t xml:space="preserve"> </w:t>
      </w:r>
      <w:r w:rsidRPr="00D713FE">
        <w:rPr>
          <w:rFonts w:asciiTheme="majorHAnsi" w:hAnsiTheme="majorHAnsi" w:cstheme="majorHAnsi"/>
        </w:rPr>
        <w:t>Some of these will have agreed use of some</w:t>
      </w:r>
      <w:r w:rsidR="00BF086A" w:rsidRPr="00D713FE">
        <w:rPr>
          <w:rFonts w:asciiTheme="majorHAnsi" w:hAnsiTheme="majorHAnsi" w:cstheme="majorHAnsi"/>
        </w:rPr>
        <w:t>,</w:t>
      </w:r>
      <w:r w:rsidRPr="00D713FE">
        <w:rPr>
          <w:rFonts w:asciiTheme="majorHAnsi" w:hAnsiTheme="majorHAnsi" w:cstheme="majorHAnsi"/>
        </w:rPr>
        <w:t xml:space="preserve"> or all</w:t>
      </w:r>
      <w:r w:rsidR="00BF086A" w:rsidRPr="00D713FE">
        <w:rPr>
          <w:rFonts w:asciiTheme="majorHAnsi" w:hAnsiTheme="majorHAnsi" w:cstheme="majorHAnsi"/>
        </w:rPr>
        <w:t>,</w:t>
      </w:r>
      <w:r w:rsidRPr="00D713FE">
        <w:rPr>
          <w:rFonts w:asciiTheme="majorHAnsi" w:hAnsiTheme="majorHAnsi" w:cstheme="majorHAnsi"/>
        </w:rPr>
        <w:t xml:space="preserve"> of their samples within their specific HRA approval.</w:t>
      </w:r>
      <w:r w:rsidR="00411FE3">
        <w:rPr>
          <w:rFonts w:asciiTheme="majorHAnsi" w:hAnsiTheme="majorHAnsi" w:cstheme="majorHAnsi"/>
        </w:rPr>
        <w:t xml:space="preserve"> </w:t>
      </w:r>
      <w:r w:rsidRPr="00D713FE">
        <w:rPr>
          <w:rFonts w:asciiTheme="majorHAnsi" w:hAnsiTheme="majorHAnsi" w:cstheme="majorHAnsi"/>
        </w:rPr>
        <w:t xml:space="preserve">In this case we do not need to have the specified use of samples approved by TMC as they are covered by the original HRA approval. </w:t>
      </w:r>
    </w:p>
    <w:p w14:paraId="2C0F1EFF" w14:textId="77777777" w:rsidR="002C4E3F" w:rsidRPr="00D713FE" w:rsidRDefault="002C4E3F" w:rsidP="00D32193">
      <w:pPr>
        <w:ind w:left="142" w:right="112" w:firstLine="1"/>
        <w:jc w:val="both"/>
        <w:rPr>
          <w:rFonts w:asciiTheme="majorHAnsi" w:hAnsiTheme="majorHAnsi" w:cstheme="majorHAnsi"/>
        </w:rPr>
      </w:pPr>
    </w:p>
    <w:p w14:paraId="08CADCDA" w14:textId="2522B65F" w:rsidR="00E763BF" w:rsidRPr="00D713FE" w:rsidRDefault="00E763BF" w:rsidP="00D32193">
      <w:pPr>
        <w:ind w:left="142" w:right="112" w:firstLine="1"/>
        <w:jc w:val="both"/>
        <w:rPr>
          <w:rFonts w:asciiTheme="majorHAnsi" w:hAnsiTheme="majorHAnsi" w:cstheme="majorHAnsi"/>
        </w:rPr>
      </w:pPr>
      <w:r w:rsidRPr="00D713FE">
        <w:rPr>
          <w:rFonts w:asciiTheme="majorHAnsi" w:hAnsiTheme="majorHAnsi" w:cstheme="majorHAnsi"/>
        </w:rPr>
        <w:t>If the samples are to be used for other studies that have not been stated under the original HRA approval, the PI must seek an amendment when the sub-collection remains within the HRA approval dates.</w:t>
      </w:r>
      <w:r w:rsidR="00411FE3">
        <w:rPr>
          <w:rFonts w:asciiTheme="majorHAnsi" w:hAnsiTheme="majorHAnsi" w:cstheme="majorHAnsi"/>
        </w:rPr>
        <w:t xml:space="preserve"> </w:t>
      </w:r>
      <w:r w:rsidRPr="00D713FE">
        <w:rPr>
          <w:rFonts w:asciiTheme="majorHAnsi" w:hAnsiTheme="majorHAnsi" w:cstheme="majorHAnsi"/>
        </w:rPr>
        <w:t>At the end of accrual of samples and HRA approval the PI can either seek renewal of specific HRA approval for their project or, where there is an element of generic consent for future unspecified use, place the samples under the HTA Licence as part of ICHTB.</w:t>
      </w:r>
      <w:r w:rsidR="00FA4E94">
        <w:rPr>
          <w:rFonts w:asciiTheme="majorHAnsi" w:hAnsiTheme="majorHAnsi" w:cstheme="majorHAnsi"/>
        </w:rPr>
        <w:t xml:space="preserve"> </w:t>
      </w:r>
      <w:r w:rsidRPr="00D713FE">
        <w:rPr>
          <w:rFonts w:asciiTheme="majorHAnsi" w:hAnsiTheme="majorHAnsi" w:cstheme="majorHAnsi"/>
        </w:rPr>
        <w:t>In the latter case any further use of samples must go through approval by the Applic</w:t>
      </w:r>
      <w:r w:rsidR="00EA42E8" w:rsidRPr="00D713FE">
        <w:rPr>
          <w:rFonts w:asciiTheme="majorHAnsi" w:hAnsiTheme="majorHAnsi" w:cstheme="majorHAnsi"/>
        </w:rPr>
        <w:t>ation Review Panel (see Figure 2</w:t>
      </w:r>
      <w:r w:rsidR="29E930E7" w:rsidRPr="00D713FE">
        <w:rPr>
          <w:rFonts w:asciiTheme="majorHAnsi" w:hAnsiTheme="majorHAnsi" w:cstheme="majorHAnsi"/>
        </w:rPr>
        <w:t>) and</w:t>
      </w:r>
      <w:r w:rsidR="002C4E3F" w:rsidRPr="00D713FE">
        <w:rPr>
          <w:rFonts w:asciiTheme="majorHAnsi" w:hAnsiTheme="majorHAnsi" w:cstheme="majorHAnsi"/>
        </w:rPr>
        <w:t xml:space="preserve"> will be treated as “imported” sub-collections – see 2.3 below.</w:t>
      </w:r>
    </w:p>
    <w:p w14:paraId="69875F80" w14:textId="6423121D" w:rsidR="00E763BF" w:rsidRPr="00D713FE" w:rsidRDefault="00E763BF" w:rsidP="00D32193">
      <w:pPr>
        <w:ind w:left="142" w:right="112" w:firstLine="1"/>
        <w:jc w:val="both"/>
        <w:rPr>
          <w:rFonts w:asciiTheme="majorHAnsi" w:hAnsiTheme="majorHAnsi" w:cstheme="majorHAnsi"/>
        </w:rPr>
      </w:pPr>
    </w:p>
    <w:p w14:paraId="696C43CF" w14:textId="47C6A7F5" w:rsidR="00E763BF" w:rsidRPr="00D713FE" w:rsidRDefault="00724687" w:rsidP="00D32193">
      <w:pPr>
        <w:ind w:left="142" w:right="112" w:firstLine="1"/>
        <w:rPr>
          <w:rFonts w:asciiTheme="majorHAnsi" w:hAnsiTheme="majorHAnsi" w:cstheme="majorHAnsi"/>
        </w:rPr>
      </w:pPr>
      <w:r>
        <w:rPr>
          <w:rFonts w:asciiTheme="majorHAnsi" w:hAnsiTheme="majorHAnsi" w:cstheme="majorHAnsi"/>
          <w:noProof/>
        </w:rPr>
        <w:drawing>
          <wp:anchor distT="0" distB="0" distL="114300" distR="114300" simplePos="0" relativeHeight="251658240" behindDoc="0" locked="0" layoutInCell="1" allowOverlap="1" wp14:anchorId="46A50E41" wp14:editId="0D38534C">
            <wp:simplePos x="0" y="0"/>
            <wp:positionH relativeFrom="column">
              <wp:posOffset>66675</wp:posOffset>
            </wp:positionH>
            <wp:positionV relativeFrom="paragraph">
              <wp:posOffset>295910</wp:posOffset>
            </wp:positionV>
            <wp:extent cx="6603365" cy="4360262"/>
            <wp:effectExtent l="0" t="0" r="6985" b="254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03365" cy="4360262"/>
                    </a:xfrm>
                    <a:prstGeom prst="rect">
                      <a:avLst/>
                    </a:prstGeom>
                    <a:noFill/>
                  </pic:spPr>
                </pic:pic>
              </a:graphicData>
            </a:graphic>
            <wp14:sizeRelH relativeFrom="page">
              <wp14:pctWidth>0</wp14:pctWidth>
            </wp14:sizeRelH>
            <wp14:sizeRelV relativeFrom="page">
              <wp14:pctHeight>0</wp14:pctHeight>
            </wp14:sizeRelV>
          </wp:anchor>
        </w:drawing>
      </w:r>
      <w:r w:rsidR="00EA42E8" w:rsidRPr="00D713FE">
        <w:rPr>
          <w:rFonts w:asciiTheme="majorHAnsi" w:hAnsiTheme="majorHAnsi" w:cstheme="majorHAnsi"/>
          <w:b/>
        </w:rPr>
        <w:t>Figure 2</w:t>
      </w:r>
      <w:r w:rsidR="00E763BF" w:rsidRPr="00D713FE">
        <w:rPr>
          <w:rFonts w:asciiTheme="majorHAnsi" w:hAnsiTheme="majorHAnsi" w:cstheme="majorHAnsi"/>
          <w:b/>
        </w:rPr>
        <w:t>:</w:t>
      </w:r>
      <w:r w:rsidR="00411FE3">
        <w:rPr>
          <w:rFonts w:asciiTheme="majorHAnsi" w:hAnsiTheme="majorHAnsi" w:cstheme="majorHAnsi"/>
          <w:b/>
        </w:rPr>
        <w:t xml:space="preserve"> </w:t>
      </w:r>
      <w:r w:rsidR="00E763BF" w:rsidRPr="00D713FE">
        <w:rPr>
          <w:rFonts w:asciiTheme="majorHAnsi" w:hAnsiTheme="majorHAnsi" w:cstheme="majorHAnsi"/>
          <w:b/>
        </w:rPr>
        <w:t xml:space="preserve">Governance of </w:t>
      </w:r>
      <w:r w:rsidR="00EA42E8" w:rsidRPr="00D713FE">
        <w:rPr>
          <w:rFonts w:asciiTheme="majorHAnsi" w:hAnsiTheme="majorHAnsi" w:cstheme="majorHAnsi"/>
          <w:b/>
        </w:rPr>
        <w:t>HTA Research Licence</w:t>
      </w:r>
    </w:p>
    <w:p w14:paraId="79724492" w14:textId="6156534D" w:rsidR="00E763BF" w:rsidRPr="00D713FE" w:rsidRDefault="00E763BF" w:rsidP="00D32193">
      <w:pPr>
        <w:ind w:left="142" w:right="112" w:firstLine="1"/>
        <w:jc w:val="both"/>
        <w:rPr>
          <w:rFonts w:asciiTheme="majorHAnsi" w:hAnsiTheme="majorHAnsi" w:cstheme="majorHAnsi"/>
        </w:rPr>
      </w:pPr>
    </w:p>
    <w:p w14:paraId="2FBD9637" w14:textId="77777777" w:rsidR="00E763BF" w:rsidRPr="00D713FE" w:rsidRDefault="00E763BF" w:rsidP="00D32193">
      <w:pPr>
        <w:ind w:left="142" w:right="112" w:firstLine="1"/>
        <w:jc w:val="both"/>
        <w:rPr>
          <w:rFonts w:asciiTheme="majorHAnsi" w:hAnsiTheme="majorHAnsi" w:cstheme="majorHAnsi"/>
        </w:rPr>
      </w:pPr>
    </w:p>
    <w:p w14:paraId="17389B84" w14:textId="211F16B2" w:rsidR="00E763BF" w:rsidRPr="00216A48" w:rsidRDefault="00E763BF" w:rsidP="00D32193">
      <w:pPr>
        <w:ind w:left="142" w:right="112" w:firstLine="1"/>
        <w:jc w:val="both"/>
        <w:rPr>
          <w:rFonts w:asciiTheme="majorHAnsi" w:hAnsiTheme="majorHAnsi" w:cstheme="majorHAnsi"/>
          <w:b/>
        </w:rPr>
      </w:pPr>
      <w:r w:rsidRPr="00216A48">
        <w:rPr>
          <w:rFonts w:asciiTheme="majorHAnsi" w:hAnsiTheme="majorHAnsi" w:cstheme="majorHAnsi"/>
          <w:b/>
        </w:rPr>
        <w:t>2.3</w:t>
      </w:r>
      <w:r w:rsidRPr="00216A48">
        <w:rPr>
          <w:rFonts w:asciiTheme="majorHAnsi" w:hAnsiTheme="majorHAnsi" w:cstheme="majorHAnsi"/>
          <w:b/>
        </w:rPr>
        <w:tab/>
        <w:t>“Imported” Sub-collection</w:t>
      </w:r>
    </w:p>
    <w:p w14:paraId="41A45B12" w14:textId="77777777" w:rsidR="00AB131B" w:rsidRPr="00D713FE" w:rsidRDefault="00AB131B" w:rsidP="00D32193">
      <w:pPr>
        <w:ind w:left="142" w:right="112" w:firstLine="1"/>
        <w:jc w:val="both"/>
        <w:rPr>
          <w:rFonts w:asciiTheme="majorHAnsi" w:hAnsiTheme="majorHAnsi" w:cstheme="majorHAnsi"/>
          <w:b/>
        </w:rPr>
      </w:pPr>
    </w:p>
    <w:p w14:paraId="71B2E121" w14:textId="38C19FD3" w:rsidR="00E763BF" w:rsidRPr="00D713FE" w:rsidRDefault="00E763BF" w:rsidP="00D32193">
      <w:pPr>
        <w:ind w:left="142" w:right="112" w:firstLine="1"/>
        <w:jc w:val="both"/>
        <w:rPr>
          <w:rFonts w:asciiTheme="majorHAnsi" w:hAnsiTheme="majorHAnsi" w:cstheme="majorHAnsi"/>
        </w:rPr>
      </w:pPr>
      <w:r w:rsidRPr="00D713FE">
        <w:rPr>
          <w:rFonts w:asciiTheme="majorHAnsi" w:hAnsiTheme="majorHAnsi" w:cstheme="majorHAnsi"/>
        </w:rPr>
        <w:t>These are sub-collections where the material is imported into ICL/ICHT from other institutions including those from outside the UK.</w:t>
      </w:r>
      <w:r w:rsidR="00411FE3">
        <w:rPr>
          <w:rFonts w:asciiTheme="majorHAnsi" w:hAnsiTheme="majorHAnsi" w:cstheme="majorHAnsi"/>
        </w:rPr>
        <w:t xml:space="preserve"> </w:t>
      </w:r>
      <w:r w:rsidRPr="00D713FE">
        <w:rPr>
          <w:rFonts w:asciiTheme="majorHAnsi" w:hAnsiTheme="majorHAnsi" w:cstheme="majorHAnsi"/>
        </w:rPr>
        <w:t xml:space="preserve">These are </w:t>
      </w:r>
      <w:r w:rsidR="00BF086A" w:rsidRPr="00D713FE">
        <w:rPr>
          <w:rFonts w:asciiTheme="majorHAnsi" w:hAnsiTheme="majorHAnsi" w:cstheme="majorHAnsi"/>
        </w:rPr>
        <w:t>like</w:t>
      </w:r>
      <w:r w:rsidRPr="00D713FE">
        <w:rPr>
          <w:rFonts w:asciiTheme="majorHAnsi" w:hAnsiTheme="majorHAnsi" w:cstheme="majorHAnsi"/>
        </w:rPr>
        <w:t xml:space="preserve"> 2.2 </w:t>
      </w:r>
      <w:r w:rsidR="5CD9C842" w:rsidRPr="00D713FE">
        <w:rPr>
          <w:rFonts w:asciiTheme="majorHAnsi" w:hAnsiTheme="majorHAnsi" w:cstheme="majorHAnsi"/>
        </w:rPr>
        <w:t>above but</w:t>
      </w:r>
      <w:r w:rsidRPr="00D713FE">
        <w:rPr>
          <w:rFonts w:asciiTheme="majorHAnsi" w:hAnsiTheme="majorHAnsi" w:cstheme="majorHAnsi"/>
        </w:rPr>
        <w:t xml:space="preserve"> will not necessarily have UK HRA approval.</w:t>
      </w:r>
      <w:r w:rsidR="00FA4E94">
        <w:rPr>
          <w:rFonts w:asciiTheme="majorHAnsi" w:hAnsiTheme="majorHAnsi" w:cstheme="majorHAnsi"/>
        </w:rPr>
        <w:t xml:space="preserve"> </w:t>
      </w:r>
      <w:r w:rsidRPr="00D713FE">
        <w:rPr>
          <w:rFonts w:asciiTheme="majorHAnsi" w:hAnsiTheme="majorHAnsi" w:cstheme="majorHAnsi"/>
        </w:rPr>
        <w:t>If they do not have UK HRA approval (</w:t>
      </w:r>
      <w:r w:rsidR="183DCEAD" w:rsidRPr="00D713FE">
        <w:rPr>
          <w:rFonts w:asciiTheme="majorHAnsi" w:hAnsiTheme="majorHAnsi" w:cstheme="majorHAnsi"/>
        </w:rPr>
        <w:t>i.e.,</w:t>
      </w:r>
      <w:r w:rsidRPr="00D713FE">
        <w:rPr>
          <w:rFonts w:asciiTheme="majorHAnsi" w:hAnsiTheme="majorHAnsi" w:cstheme="majorHAnsi"/>
        </w:rPr>
        <w:t xml:space="preserve"> they are imported from abroad), the PI must provide a document that states that the samples have been sourced in accordance with the local rules </w:t>
      </w:r>
      <w:r w:rsidR="00BF086A" w:rsidRPr="00D713FE">
        <w:rPr>
          <w:rFonts w:asciiTheme="majorHAnsi" w:hAnsiTheme="majorHAnsi" w:cstheme="majorHAnsi"/>
        </w:rPr>
        <w:t>regarding</w:t>
      </w:r>
      <w:r w:rsidRPr="00D713FE">
        <w:rPr>
          <w:rFonts w:asciiTheme="majorHAnsi" w:hAnsiTheme="majorHAnsi" w:cstheme="majorHAnsi"/>
        </w:rPr>
        <w:t xml:space="preserve"> ethics and law. These can also be collections of clinical trial materials, initially stored outside Imperial, where the original </w:t>
      </w:r>
      <w:r w:rsidRPr="00D713FE">
        <w:rPr>
          <w:rFonts w:asciiTheme="majorHAnsi" w:hAnsiTheme="majorHAnsi" w:cstheme="majorHAnsi"/>
        </w:rPr>
        <w:lastRenderedPageBreak/>
        <w:t>HRA approval has lapsed, but generic consent for research use of material was sought.</w:t>
      </w:r>
      <w:r w:rsidR="00FA4E94">
        <w:rPr>
          <w:rFonts w:asciiTheme="majorHAnsi" w:hAnsiTheme="majorHAnsi" w:cstheme="majorHAnsi"/>
        </w:rPr>
        <w:t xml:space="preserve"> </w:t>
      </w:r>
      <w:r w:rsidRPr="00D713FE">
        <w:rPr>
          <w:rFonts w:asciiTheme="majorHAnsi" w:hAnsiTheme="majorHAnsi" w:cstheme="majorHAnsi"/>
        </w:rPr>
        <w:t>All sub-collections must have a Material Transfer Agreement (MTA) that specifies where the samples have come from, and what they can be used for.</w:t>
      </w:r>
      <w:r w:rsidR="00411FE3">
        <w:rPr>
          <w:rFonts w:asciiTheme="majorHAnsi" w:hAnsiTheme="majorHAnsi" w:cstheme="majorHAnsi"/>
        </w:rPr>
        <w:t xml:space="preserve"> </w:t>
      </w:r>
      <w:r w:rsidRPr="00D713FE">
        <w:rPr>
          <w:rFonts w:asciiTheme="majorHAnsi" w:hAnsiTheme="majorHAnsi" w:cstheme="majorHAnsi"/>
        </w:rPr>
        <w:t>Where the material has been consented using HRA approved forms a blank copy of the consent form and patient information leaflet must be provided.</w:t>
      </w:r>
      <w:r w:rsidR="00FA4E94">
        <w:rPr>
          <w:rFonts w:asciiTheme="majorHAnsi" w:hAnsiTheme="majorHAnsi" w:cstheme="majorHAnsi"/>
        </w:rPr>
        <w:t xml:space="preserve"> </w:t>
      </w:r>
      <w:r w:rsidRPr="00D713FE">
        <w:rPr>
          <w:rFonts w:asciiTheme="majorHAnsi" w:hAnsiTheme="majorHAnsi" w:cstheme="majorHAnsi"/>
        </w:rPr>
        <w:t>If the sub-collection has been established for use only within what is agreed on the MTA, approval for use is not required via the TMC, providing the information on the MTA is very specific and that any residual material is to be destroyed following completion of that specific project.</w:t>
      </w:r>
      <w:r w:rsidR="00411FE3">
        <w:rPr>
          <w:rFonts w:asciiTheme="majorHAnsi" w:hAnsiTheme="majorHAnsi" w:cstheme="majorHAnsi"/>
        </w:rPr>
        <w:t xml:space="preserve"> </w:t>
      </w:r>
      <w:r w:rsidRPr="00D713FE">
        <w:rPr>
          <w:rFonts w:asciiTheme="majorHAnsi" w:hAnsiTheme="majorHAnsi" w:cstheme="majorHAnsi"/>
        </w:rPr>
        <w:t>Where future undefined research is to be carried out, and this has been agreed by the supplier of the material, each project must be approved by the Application Review Panel.</w:t>
      </w:r>
    </w:p>
    <w:p w14:paraId="7673A872" w14:textId="77777777" w:rsidR="00E763BF" w:rsidRPr="00D713FE" w:rsidRDefault="00E763BF" w:rsidP="00D32193">
      <w:pPr>
        <w:ind w:left="142" w:right="112" w:firstLine="1"/>
        <w:jc w:val="both"/>
        <w:rPr>
          <w:rFonts w:asciiTheme="majorHAnsi" w:hAnsiTheme="majorHAnsi" w:cstheme="majorHAnsi"/>
        </w:rPr>
      </w:pPr>
    </w:p>
    <w:p w14:paraId="4E120830" w14:textId="64EAB24D" w:rsidR="00E763BF" w:rsidRPr="00D713FE" w:rsidRDefault="00E763BF" w:rsidP="00D32193">
      <w:pPr>
        <w:ind w:left="142" w:right="112" w:firstLine="1"/>
        <w:rPr>
          <w:rFonts w:asciiTheme="majorHAnsi" w:hAnsiTheme="majorHAnsi" w:cstheme="majorHAnsi"/>
        </w:rPr>
      </w:pPr>
      <w:r w:rsidRPr="00D713FE">
        <w:rPr>
          <w:rFonts w:asciiTheme="majorHAnsi" w:hAnsiTheme="majorHAnsi" w:cstheme="majorHAnsi"/>
        </w:rPr>
        <w:t>On registration, all sub-collections are given a code that links them to the Department of the PI, and to the PI themselves.</w:t>
      </w:r>
      <w:r w:rsidR="00411FE3">
        <w:rPr>
          <w:rFonts w:asciiTheme="majorHAnsi" w:hAnsiTheme="majorHAnsi" w:cstheme="majorHAnsi"/>
        </w:rPr>
        <w:t xml:space="preserve"> </w:t>
      </w:r>
    </w:p>
    <w:p w14:paraId="24D0ED22" w14:textId="77777777" w:rsidR="00E763BF" w:rsidRPr="00D713FE" w:rsidRDefault="00E763BF" w:rsidP="00D32193">
      <w:pPr>
        <w:ind w:left="142" w:right="112" w:firstLine="1"/>
        <w:rPr>
          <w:rFonts w:asciiTheme="majorHAnsi" w:hAnsiTheme="majorHAnsi" w:cstheme="majorHAnsi"/>
        </w:rPr>
      </w:pPr>
    </w:p>
    <w:p w14:paraId="7E260711" w14:textId="77777777" w:rsidR="00E763BF" w:rsidRPr="00D713FE" w:rsidRDefault="007F4364" w:rsidP="00D32193">
      <w:pPr>
        <w:ind w:left="142" w:right="112" w:firstLine="1"/>
        <w:rPr>
          <w:rFonts w:asciiTheme="majorHAnsi" w:hAnsiTheme="majorHAnsi" w:cstheme="majorHAnsi"/>
          <w:b/>
        </w:rPr>
      </w:pPr>
      <w:r w:rsidRPr="00D713FE">
        <w:rPr>
          <w:rFonts w:asciiTheme="majorHAnsi" w:hAnsiTheme="majorHAnsi" w:cstheme="majorHAnsi"/>
          <w:b/>
        </w:rPr>
        <w:t>3</w:t>
      </w:r>
      <w:r w:rsidR="00E763BF" w:rsidRPr="00D713FE">
        <w:rPr>
          <w:rFonts w:asciiTheme="majorHAnsi" w:hAnsiTheme="majorHAnsi" w:cstheme="majorHAnsi"/>
          <w:b/>
        </w:rPr>
        <w:tab/>
        <w:t>Roles and Responsibilities of PIs of sub-collections</w:t>
      </w:r>
    </w:p>
    <w:p w14:paraId="13EA0F97" w14:textId="77777777" w:rsidR="00E763BF" w:rsidRPr="00D713FE" w:rsidRDefault="00E763BF" w:rsidP="00D32193">
      <w:pPr>
        <w:ind w:left="142" w:right="112" w:firstLine="1"/>
        <w:rPr>
          <w:rFonts w:asciiTheme="majorHAnsi" w:hAnsiTheme="majorHAnsi" w:cstheme="majorHAnsi"/>
        </w:rPr>
      </w:pPr>
    </w:p>
    <w:p w14:paraId="1564C370" w14:textId="61F96FC4" w:rsidR="00E763BF" w:rsidRPr="00D713FE" w:rsidRDefault="00E763BF" w:rsidP="00D32193">
      <w:pPr>
        <w:ind w:left="142" w:right="112" w:firstLine="1"/>
        <w:jc w:val="both"/>
        <w:rPr>
          <w:rFonts w:asciiTheme="majorHAnsi" w:hAnsiTheme="majorHAnsi" w:cstheme="majorHAnsi"/>
        </w:rPr>
      </w:pPr>
      <w:r w:rsidRPr="00D713FE">
        <w:rPr>
          <w:rFonts w:asciiTheme="majorHAnsi" w:hAnsiTheme="majorHAnsi" w:cstheme="majorHAnsi"/>
        </w:rPr>
        <w:t>Each sub-collection must have a nominated PI who is responsible for ensuring that the sub-collection is appropriately managed and who provides regular reports to the Designated Individual (DI) for the HTA Licence, through the Person Designate on their campus who has been allocated the responsibility for oversight of their sub-collection. The PI must register the sub-collection on the Tissue Bank database</w:t>
      </w:r>
      <w:r w:rsidR="008D3C5B" w:rsidRPr="00D713FE">
        <w:rPr>
          <w:rFonts w:asciiTheme="majorHAnsi" w:hAnsiTheme="majorHAnsi" w:cstheme="majorHAnsi"/>
        </w:rPr>
        <w:t xml:space="preserve"> using an </w:t>
      </w:r>
      <w:r w:rsidR="00BF086A" w:rsidRPr="00D713FE">
        <w:rPr>
          <w:rFonts w:asciiTheme="majorHAnsi" w:hAnsiTheme="majorHAnsi" w:cstheme="majorHAnsi"/>
        </w:rPr>
        <w:t>on-line</w:t>
      </w:r>
      <w:r w:rsidR="008D3C5B" w:rsidRPr="00D713FE">
        <w:rPr>
          <w:rFonts w:asciiTheme="majorHAnsi" w:hAnsiTheme="majorHAnsi" w:cstheme="majorHAnsi"/>
        </w:rPr>
        <w:t xml:space="preserve"> tool.</w:t>
      </w:r>
      <w:r w:rsidR="00411FE3">
        <w:rPr>
          <w:rFonts w:asciiTheme="majorHAnsi" w:hAnsiTheme="majorHAnsi" w:cstheme="majorHAnsi"/>
        </w:rPr>
        <w:t xml:space="preserve"> </w:t>
      </w:r>
      <w:r w:rsidR="008D3C5B" w:rsidRPr="00D713FE">
        <w:rPr>
          <w:rFonts w:asciiTheme="majorHAnsi" w:hAnsiTheme="majorHAnsi" w:cstheme="majorHAnsi"/>
        </w:rPr>
        <w:t>The guide for registering a sub-collection is TB-DOC-</w:t>
      </w:r>
      <w:r w:rsidR="00B62D2A" w:rsidRPr="00D713FE">
        <w:rPr>
          <w:rFonts w:asciiTheme="majorHAnsi" w:hAnsiTheme="majorHAnsi" w:cstheme="majorHAnsi"/>
        </w:rPr>
        <w:t>SCM13.</w:t>
      </w:r>
      <w:r w:rsidRPr="00D713FE">
        <w:rPr>
          <w:rFonts w:asciiTheme="majorHAnsi" w:hAnsiTheme="majorHAnsi" w:cstheme="majorHAnsi"/>
        </w:rPr>
        <w:t xml:space="preserve"> PIs are expected to provide the following documents or to agree to abide by the SOPs provided by Tissue Bank staff that govern these elements when samples are received via Pathology for material left over from operations:</w:t>
      </w:r>
    </w:p>
    <w:p w14:paraId="55AA6046" w14:textId="77777777" w:rsidR="00E763BF" w:rsidRPr="00D713FE" w:rsidRDefault="00E763BF" w:rsidP="00AB131B">
      <w:pPr>
        <w:numPr>
          <w:ilvl w:val="1"/>
          <w:numId w:val="1"/>
        </w:numPr>
        <w:shd w:val="clear" w:color="auto" w:fill="FFFFFF" w:themeFill="background1"/>
        <w:tabs>
          <w:tab w:val="clear" w:pos="1440"/>
          <w:tab w:val="num" w:pos="709"/>
        </w:tabs>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procedure for obtaining and documenting donor consent and receipt of samples</w:t>
      </w:r>
    </w:p>
    <w:p w14:paraId="043C4D4D" w14:textId="77777777" w:rsidR="00E763BF" w:rsidRPr="00D713FE" w:rsidRDefault="00E763BF" w:rsidP="00AB131B">
      <w:pPr>
        <w:numPr>
          <w:ilvl w:val="1"/>
          <w:numId w:val="1"/>
        </w:numPr>
        <w:shd w:val="clear" w:color="auto" w:fill="FFFFFF" w:themeFill="background1"/>
        <w:tabs>
          <w:tab w:val="clear" w:pos="1440"/>
          <w:tab w:val="num" w:pos="709"/>
        </w:tabs>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procedure for disposal of samples</w:t>
      </w:r>
    </w:p>
    <w:p w14:paraId="186E3DB8" w14:textId="77777777" w:rsidR="00E763BF" w:rsidRPr="00D713FE" w:rsidRDefault="00E763BF" w:rsidP="00AB131B">
      <w:pPr>
        <w:numPr>
          <w:ilvl w:val="1"/>
          <w:numId w:val="1"/>
        </w:numPr>
        <w:shd w:val="clear" w:color="auto" w:fill="FFFFFF" w:themeFill="background1"/>
        <w:tabs>
          <w:tab w:val="clear" w:pos="1440"/>
          <w:tab w:val="num" w:pos="709"/>
        </w:tabs>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procedure for transport of samples (into storage and from storage)</w:t>
      </w:r>
    </w:p>
    <w:p w14:paraId="58427EE7" w14:textId="77777777" w:rsidR="00E763BF" w:rsidRPr="00D713FE" w:rsidRDefault="00E763BF" w:rsidP="00AB131B">
      <w:pPr>
        <w:numPr>
          <w:ilvl w:val="1"/>
          <w:numId w:val="1"/>
        </w:numPr>
        <w:shd w:val="clear" w:color="auto" w:fill="FFFFFF" w:themeFill="background1"/>
        <w:tabs>
          <w:tab w:val="clear" w:pos="1440"/>
          <w:tab w:val="num" w:pos="709"/>
        </w:tabs>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procedure for cleaning and decontamination</w:t>
      </w:r>
    </w:p>
    <w:p w14:paraId="0A0B5391" w14:textId="77777777" w:rsidR="00E763BF" w:rsidRPr="00D713FE" w:rsidRDefault="00E763BF" w:rsidP="00AB131B">
      <w:pPr>
        <w:numPr>
          <w:ilvl w:val="1"/>
          <w:numId w:val="1"/>
        </w:numPr>
        <w:shd w:val="clear" w:color="auto" w:fill="FFFFFF" w:themeFill="background1"/>
        <w:tabs>
          <w:tab w:val="clear" w:pos="1440"/>
          <w:tab w:val="num" w:pos="709"/>
        </w:tabs>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procedure for managing abnormal changes in storage temperatures</w:t>
      </w:r>
    </w:p>
    <w:p w14:paraId="6F918783" w14:textId="77777777" w:rsidR="00E763BF" w:rsidRPr="00D713FE" w:rsidRDefault="00E763BF" w:rsidP="00AB131B">
      <w:pPr>
        <w:numPr>
          <w:ilvl w:val="1"/>
          <w:numId w:val="1"/>
        </w:numPr>
        <w:shd w:val="clear" w:color="auto" w:fill="FFFFFF" w:themeFill="background1"/>
        <w:tabs>
          <w:tab w:val="clear" w:pos="1440"/>
          <w:tab w:val="num" w:pos="709"/>
        </w:tabs>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procedure for recording and reporting adverse events to the DI</w:t>
      </w:r>
    </w:p>
    <w:p w14:paraId="23EF7FC2" w14:textId="77777777" w:rsidR="00F470CE" w:rsidRPr="00D713FE" w:rsidRDefault="00E763BF" w:rsidP="00D32193">
      <w:pPr>
        <w:shd w:val="clear" w:color="auto" w:fill="FFFFFF" w:themeFill="background1"/>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Where the sub-collection fall</w:t>
      </w:r>
      <w:r w:rsidR="006F741E" w:rsidRPr="00D713FE">
        <w:rPr>
          <w:rFonts w:asciiTheme="majorHAnsi" w:eastAsia="Times New Roman" w:hAnsiTheme="majorHAnsi" w:cstheme="majorHAnsi"/>
          <w:lang w:eastAsia="en-GB"/>
        </w:rPr>
        <w:t>s into the type described in 2.2</w:t>
      </w:r>
      <w:r w:rsidRPr="00D713FE">
        <w:rPr>
          <w:rFonts w:asciiTheme="majorHAnsi" w:eastAsia="Times New Roman" w:hAnsiTheme="majorHAnsi" w:cstheme="majorHAnsi"/>
          <w:lang w:eastAsia="en-GB"/>
        </w:rPr>
        <w:t>, the P</w:t>
      </w:r>
      <w:r w:rsidR="00F03C0E" w:rsidRPr="00D713FE">
        <w:rPr>
          <w:rFonts w:asciiTheme="majorHAnsi" w:eastAsia="Times New Roman" w:hAnsiTheme="majorHAnsi" w:cstheme="majorHAnsi"/>
          <w:lang w:eastAsia="en-GB"/>
        </w:rPr>
        <w:t xml:space="preserve">I is also obliged to provide </w:t>
      </w:r>
    </w:p>
    <w:p w14:paraId="4B0E555D" w14:textId="77777777" w:rsidR="00F470CE" w:rsidRPr="00D713FE" w:rsidRDefault="00F03C0E" w:rsidP="00D32193">
      <w:pPr>
        <w:pStyle w:val="ListParagraph"/>
        <w:numPr>
          <w:ilvl w:val="0"/>
          <w:numId w:val="15"/>
        </w:numPr>
        <w:shd w:val="clear" w:color="auto" w:fill="FFFFFF" w:themeFill="background1"/>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 xml:space="preserve">a </w:t>
      </w:r>
      <w:r w:rsidR="00E763BF" w:rsidRPr="00D713FE">
        <w:rPr>
          <w:rFonts w:asciiTheme="majorHAnsi" w:eastAsia="Times New Roman" w:hAnsiTheme="majorHAnsi" w:cstheme="majorHAnsi"/>
          <w:lang w:eastAsia="en-GB"/>
        </w:rPr>
        <w:t xml:space="preserve">blank copy of the consent form and patient information leaflet, </w:t>
      </w:r>
    </w:p>
    <w:p w14:paraId="59590915" w14:textId="2632AACE" w:rsidR="00F470CE" w:rsidRPr="00D713FE" w:rsidRDefault="00E763BF" w:rsidP="00D32193">
      <w:pPr>
        <w:pStyle w:val="ListParagraph"/>
        <w:numPr>
          <w:ilvl w:val="0"/>
          <w:numId w:val="15"/>
        </w:numPr>
        <w:shd w:val="clear" w:color="auto" w:fill="FFFFFF" w:themeFill="background1"/>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a copy of the Ethics approval for the sample collection and use.</w:t>
      </w:r>
      <w:r w:rsidR="00411FE3">
        <w:rPr>
          <w:rFonts w:asciiTheme="majorHAnsi" w:eastAsia="Times New Roman" w:hAnsiTheme="majorHAnsi" w:cstheme="majorHAnsi"/>
          <w:lang w:eastAsia="en-GB"/>
        </w:rPr>
        <w:t xml:space="preserve"> </w:t>
      </w:r>
    </w:p>
    <w:p w14:paraId="3D08A261" w14:textId="5DD87D90" w:rsidR="00E763BF" w:rsidRPr="00D713FE" w:rsidRDefault="00B62D2A" w:rsidP="00D32193">
      <w:pPr>
        <w:shd w:val="clear" w:color="auto" w:fill="FFFFFF" w:themeFill="background1"/>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 xml:space="preserve">Where the sub-collection falls into the type listed in 2.3, the PI is also obliged to provide a copy of the MDTA provided by the supplier of the material, and if sourced from outside the UK, </w:t>
      </w:r>
      <w:r w:rsidR="00E763BF" w:rsidRPr="00D713FE">
        <w:rPr>
          <w:rFonts w:asciiTheme="majorHAnsi" w:eastAsia="Times New Roman" w:hAnsiTheme="majorHAnsi" w:cstheme="majorHAnsi"/>
          <w:lang w:eastAsia="en-GB"/>
        </w:rPr>
        <w:t xml:space="preserve">a statement that the material has been obtained according to the local ethics and law of the country in which the samples were sourced must also be provided. </w:t>
      </w:r>
      <w:r w:rsidR="003349A4" w:rsidRPr="00D713FE">
        <w:rPr>
          <w:rFonts w:asciiTheme="majorHAnsi" w:eastAsia="Times New Roman" w:hAnsiTheme="majorHAnsi" w:cstheme="majorHAnsi"/>
          <w:lang w:eastAsia="en-GB"/>
        </w:rPr>
        <w:t>All</w:t>
      </w:r>
      <w:r w:rsidR="00E763BF" w:rsidRPr="00D713FE">
        <w:rPr>
          <w:rFonts w:asciiTheme="majorHAnsi" w:eastAsia="Times New Roman" w:hAnsiTheme="majorHAnsi" w:cstheme="majorHAnsi"/>
          <w:lang w:eastAsia="en-GB"/>
        </w:rPr>
        <w:t xml:space="preserve"> the above should be uploaded to the sub-collection page on the database.</w:t>
      </w:r>
    </w:p>
    <w:p w14:paraId="576AB16B" w14:textId="27064D0A" w:rsidR="003349A4" w:rsidRPr="00D713FE" w:rsidRDefault="00E763BF" w:rsidP="00D32193">
      <w:pPr>
        <w:shd w:val="clear" w:color="auto" w:fill="FFFFFF" w:themeFill="background1"/>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 xml:space="preserve">The Tissue Bank database provides an </w:t>
      </w:r>
      <w:r w:rsidR="00C30193" w:rsidRPr="00D713FE">
        <w:rPr>
          <w:rFonts w:asciiTheme="majorHAnsi" w:eastAsia="Times New Roman" w:hAnsiTheme="majorHAnsi" w:cstheme="majorHAnsi"/>
          <w:lang w:eastAsia="en-GB"/>
        </w:rPr>
        <w:t>on-line</w:t>
      </w:r>
      <w:r w:rsidRPr="00D713FE">
        <w:rPr>
          <w:rFonts w:asciiTheme="majorHAnsi" w:eastAsia="Times New Roman" w:hAnsiTheme="majorHAnsi" w:cstheme="majorHAnsi"/>
          <w:lang w:eastAsia="en-GB"/>
        </w:rPr>
        <w:t xml:space="preserve"> tracking facility to check samples in and out of the sub-collection</w:t>
      </w:r>
      <w:r w:rsidR="003349A4" w:rsidRPr="00D713FE">
        <w:rPr>
          <w:rFonts w:asciiTheme="majorHAnsi" w:eastAsia="Times New Roman" w:hAnsiTheme="majorHAnsi" w:cstheme="majorHAnsi"/>
          <w:lang w:eastAsia="en-GB"/>
        </w:rPr>
        <w:t>.</w:t>
      </w:r>
      <w:r w:rsidR="00411FE3">
        <w:rPr>
          <w:rFonts w:asciiTheme="majorHAnsi" w:eastAsia="Times New Roman" w:hAnsiTheme="majorHAnsi" w:cstheme="majorHAnsi"/>
          <w:lang w:eastAsia="en-GB"/>
        </w:rPr>
        <w:t xml:space="preserve"> </w:t>
      </w:r>
      <w:r w:rsidR="003349A4" w:rsidRPr="00D713FE">
        <w:rPr>
          <w:rFonts w:asciiTheme="majorHAnsi" w:eastAsia="Times New Roman" w:hAnsiTheme="majorHAnsi" w:cstheme="majorHAnsi"/>
          <w:lang w:eastAsia="en-GB"/>
        </w:rPr>
        <w:t xml:space="preserve">New sub-collections must </w:t>
      </w:r>
      <w:r w:rsidR="00CC4F49">
        <w:rPr>
          <w:rFonts w:asciiTheme="majorHAnsi" w:eastAsia="Times New Roman" w:hAnsiTheme="majorHAnsi" w:cstheme="majorHAnsi"/>
          <w:lang w:eastAsia="en-GB"/>
        </w:rPr>
        <w:t>use this.</w:t>
      </w:r>
    </w:p>
    <w:p w14:paraId="5C785463" w14:textId="37048802" w:rsidR="003349A4" w:rsidRPr="00D713FE" w:rsidRDefault="003349A4" w:rsidP="00D32193">
      <w:pPr>
        <w:shd w:val="clear" w:color="auto" w:fill="FFFFFF" w:themeFill="background1"/>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In</w:t>
      </w:r>
      <w:r w:rsidR="00E763BF" w:rsidRPr="00D713FE">
        <w:rPr>
          <w:rFonts w:asciiTheme="majorHAnsi" w:eastAsia="Times New Roman" w:hAnsiTheme="majorHAnsi" w:cstheme="majorHAnsi"/>
          <w:lang w:eastAsia="en-GB"/>
        </w:rPr>
        <w:t xml:space="preserve"> some </w:t>
      </w:r>
      <w:r w:rsidRPr="00D713FE">
        <w:rPr>
          <w:rFonts w:asciiTheme="majorHAnsi" w:eastAsia="Times New Roman" w:hAnsiTheme="majorHAnsi" w:cstheme="majorHAnsi"/>
          <w:lang w:eastAsia="en-GB"/>
        </w:rPr>
        <w:t>cases,</w:t>
      </w:r>
      <w:r w:rsidR="00E763BF" w:rsidRPr="00D713FE">
        <w:rPr>
          <w:rFonts w:asciiTheme="majorHAnsi" w:eastAsia="Times New Roman" w:hAnsiTheme="majorHAnsi" w:cstheme="majorHAnsi"/>
          <w:lang w:eastAsia="en-GB"/>
        </w:rPr>
        <w:t xml:space="preserve"> legacy c</w:t>
      </w:r>
      <w:r w:rsidRPr="00D713FE">
        <w:rPr>
          <w:rFonts w:asciiTheme="majorHAnsi" w:eastAsia="Times New Roman" w:hAnsiTheme="majorHAnsi" w:cstheme="majorHAnsi"/>
          <w:lang w:eastAsia="en-GB"/>
        </w:rPr>
        <w:t xml:space="preserve">ollections </w:t>
      </w:r>
      <w:r w:rsidR="00E763BF" w:rsidRPr="00D713FE">
        <w:rPr>
          <w:rFonts w:asciiTheme="majorHAnsi" w:eastAsia="Times New Roman" w:hAnsiTheme="majorHAnsi" w:cstheme="majorHAnsi"/>
          <w:lang w:eastAsia="en-GB"/>
        </w:rPr>
        <w:t>already have a trac</w:t>
      </w:r>
      <w:r w:rsidRPr="00D713FE">
        <w:rPr>
          <w:rFonts w:asciiTheme="majorHAnsi" w:eastAsia="Times New Roman" w:hAnsiTheme="majorHAnsi" w:cstheme="majorHAnsi"/>
          <w:lang w:eastAsia="en-GB"/>
        </w:rPr>
        <w:t>king database.</w:t>
      </w:r>
      <w:r w:rsidR="00411FE3">
        <w:rPr>
          <w:rFonts w:asciiTheme="majorHAnsi" w:eastAsia="Times New Roman" w:hAnsiTheme="majorHAnsi" w:cstheme="majorHAnsi"/>
          <w:lang w:eastAsia="en-GB"/>
        </w:rPr>
        <w:t xml:space="preserve"> </w:t>
      </w:r>
      <w:r w:rsidR="00E763BF" w:rsidRPr="00D713FE">
        <w:rPr>
          <w:rFonts w:asciiTheme="majorHAnsi" w:eastAsia="Times New Roman" w:hAnsiTheme="majorHAnsi" w:cstheme="majorHAnsi"/>
          <w:lang w:eastAsia="en-GB"/>
        </w:rPr>
        <w:t>PIs may continue to use th</w:t>
      </w:r>
      <w:r w:rsidRPr="00D713FE">
        <w:rPr>
          <w:rFonts w:asciiTheme="majorHAnsi" w:eastAsia="Times New Roman" w:hAnsiTheme="majorHAnsi" w:cstheme="majorHAnsi"/>
          <w:lang w:eastAsia="en-GB"/>
        </w:rPr>
        <w:t>eir</w:t>
      </w:r>
      <w:r w:rsidR="00E763BF" w:rsidRPr="00D713FE">
        <w:rPr>
          <w:rFonts w:asciiTheme="majorHAnsi" w:eastAsia="Times New Roman" w:hAnsiTheme="majorHAnsi" w:cstheme="majorHAnsi"/>
          <w:lang w:eastAsia="en-GB"/>
        </w:rPr>
        <w:t xml:space="preserve"> own system</w:t>
      </w:r>
      <w:r w:rsidRPr="00D713FE">
        <w:rPr>
          <w:rFonts w:asciiTheme="majorHAnsi" w:eastAsia="Times New Roman" w:hAnsiTheme="majorHAnsi" w:cstheme="majorHAnsi"/>
          <w:lang w:eastAsia="en-GB"/>
        </w:rPr>
        <w:t xml:space="preserve"> but must agree with the Sub-Collection Manager a timescale to migrate to the ICHTB tracking database</w:t>
      </w:r>
      <w:r w:rsidR="00FA4E94">
        <w:rPr>
          <w:rFonts w:asciiTheme="majorHAnsi" w:eastAsia="Times New Roman" w:hAnsiTheme="majorHAnsi" w:cstheme="majorHAnsi"/>
          <w:lang w:eastAsia="en-GB"/>
        </w:rPr>
        <w:t xml:space="preserve"> </w:t>
      </w:r>
      <w:r w:rsidR="00E763BF" w:rsidRPr="00D713FE">
        <w:rPr>
          <w:rFonts w:asciiTheme="majorHAnsi" w:eastAsia="Times New Roman" w:hAnsiTheme="majorHAnsi" w:cstheme="majorHAnsi"/>
          <w:lang w:eastAsia="en-GB"/>
        </w:rPr>
        <w:t xml:space="preserve">Where this is the case, there must be a statement to this effect provided to the Tissue Bank </w:t>
      </w:r>
      <w:r w:rsidR="00E763BF" w:rsidRPr="00D713FE">
        <w:rPr>
          <w:rFonts w:asciiTheme="majorHAnsi" w:eastAsia="Times New Roman" w:hAnsiTheme="majorHAnsi" w:cstheme="majorHAnsi"/>
          <w:lang w:eastAsia="en-GB"/>
        </w:rPr>
        <w:lastRenderedPageBreak/>
        <w:t>together with details on who has access to the database and could be asked to assist with any audits that may be required for the HTA Licence.</w:t>
      </w:r>
      <w:r w:rsidR="00411FE3">
        <w:rPr>
          <w:rFonts w:asciiTheme="majorHAnsi" w:eastAsia="Times New Roman" w:hAnsiTheme="majorHAnsi" w:cstheme="majorHAnsi"/>
          <w:lang w:eastAsia="en-GB"/>
        </w:rPr>
        <w:t xml:space="preserve"> </w:t>
      </w:r>
    </w:p>
    <w:p w14:paraId="5FEDB4F4" w14:textId="7E659F76" w:rsidR="003349A4" w:rsidRPr="00D713FE" w:rsidRDefault="003349A4" w:rsidP="00D32193">
      <w:pPr>
        <w:shd w:val="clear" w:color="auto" w:fill="FFFFFF" w:themeFill="background1"/>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For new sub-collections the Prefix for sample reference numbers needs to be checked with the Sub-Collection manager at time of registration.</w:t>
      </w:r>
    </w:p>
    <w:p w14:paraId="0F4A2B66" w14:textId="5EE1EB5C" w:rsidR="00E763BF" w:rsidRPr="00D713FE" w:rsidRDefault="00E763BF" w:rsidP="00D32193">
      <w:pPr>
        <w:shd w:val="clear" w:color="auto" w:fill="FFFFFF" w:themeFill="background1"/>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PIs are responsible for providing an annual report on the number of samples accrued and used (see TB-DOC-SCM</w:t>
      </w:r>
      <w:r w:rsidR="006F741E" w:rsidRPr="00D713FE">
        <w:rPr>
          <w:rFonts w:asciiTheme="majorHAnsi" w:eastAsia="Times New Roman" w:hAnsiTheme="majorHAnsi" w:cstheme="majorHAnsi"/>
          <w:lang w:eastAsia="en-GB"/>
        </w:rPr>
        <w:t>9</w:t>
      </w:r>
      <w:r w:rsidRPr="00D713FE">
        <w:rPr>
          <w:rFonts w:asciiTheme="majorHAnsi" w:eastAsia="Times New Roman" w:hAnsiTheme="majorHAnsi" w:cstheme="majorHAnsi"/>
          <w:lang w:eastAsia="en-GB"/>
        </w:rPr>
        <w:t>) for both HRA and HTA reporting purposes.</w:t>
      </w:r>
      <w:r w:rsidR="00411FE3">
        <w:rPr>
          <w:rFonts w:asciiTheme="majorHAnsi" w:eastAsia="Times New Roman" w:hAnsiTheme="majorHAnsi" w:cstheme="majorHAnsi"/>
          <w:lang w:eastAsia="en-GB"/>
        </w:rPr>
        <w:t xml:space="preserve"> </w:t>
      </w:r>
      <w:r w:rsidRPr="00D713FE">
        <w:rPr>
          <w:rFonts w:asciiTheme="majorHAnsi" w:eastAsia="Times New Roman" w:hAnsiTheme="majorHAnsi" w:cstheme="majorHAnsi"/>
          <w:lang w:eastAsia="en-GB"/>
        </w:rPr>
        <w:t>PIs are permitted to nominate a deputy to carry out these tasks.</w:t>
      </w:r>
    </w:p>
    <w:p w14:paraId="2B6F9876" w14:textId="77777777" w:rsidR="00E763BF" w:rsidRPr="00D713FE" w:rsidRDefault="00E763BF" w:rsidP="00D32193">
      <w:pPr>
        <w:shd w:val="clear" w:color="auto" w:fill="FFFFFF" w:themeFill="background1"/>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 xml:space="preserve">Any applications for access to a sub-collection must be approved by the PI of that sub-collection. </w:t>
      </w:r>
    </w:p>
    <w:p w14:paraId="7338A761" w14:textId="77777777" w:rsidR="008E341E" w:rsidRPr="00D713FE" w:rsidRDefault="008E341E" w:rsidP="00D32193">
      <w:pPr>
        <w:shd w:val="clear" w:color="auto" w:fill="FFFFFF" w:themeFill="background1"/>
        <w:spacing w:before="100" w:beforeAutospacing="1" w:after="100" w:afterAutospacing="1"/>
        <w:ind w:left="142" w:right="112" w:firstLine="1"/>
        <w:jc w:val="both"/>
        <w:rPr>
          <w:rFonts w:asciiTheme="majorHAnsi" w:eastAsia="Times New Roman" w:hAnsiTheme="majorHAnsi" w:cstheme="majorHAnsi"/>
          <w:b/>
          <w:bCs/>
          <w:lang w:eastAsia="en-GB"/>
        </w:rPr>
      </w:pPr>
      <w:r w:rsidRPr="00D713FE">
        <w:rPr>
          <w:rFonts w:asciiTheme="majorHAnsi" w:eastAsia="Times New Roman" w:hAnsiTheme="majorHAnsi" w:cstheme="majorHAnsi"/>
          <w:b/>
          <w:bCs/>
          <w:lang w:eastAsia="en-GB"/>
        </w:rPr>
        <w:t>3.1</w:t>
      </w:r>
      <w:r w:rsidRPr="00D713FE">
        <w:rPr>
          <w:rFonts w:asciiTheme="majorHAnsi" w:hAnsiTheme="majorHAnsi" w:cstheme="majorHAnsi"/>
        </w:rPr>
        <w:tab/>
      </w:r>
      <w:r w:rsidRPr="00D713FE">
        <w:rPr>
          <w:rFonts w:asciiTheme="majorHAnsi" w:eastAsia="Times New Roman" w:hAnsiTheme="majorHAnsi" w:cstheme="majorHAnsi"/>
          <w:b/>
          <w:bCs/>
          <w:lang w:eastAsia="en-GB"/>
        </w:rPr>
        <w:t>Change of PI</w:t>
      </w:r>
    </w:p>
    <w:p w14:paraId="5F7A1D23" w14:textId="07551053" w:rsidR="008E341E" w:rsidRPr="00D713FE" w:rsidRDefault="00E763BF" w:rsidP="00D32193">
      <w:pPr>
        <w:shd w:val="clear" w:color="auto" w:fill="FFFFFF" w:themeFill="background1"/>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When a PI leaves employment at the College or the Trust they must nominate a current employee to take on their role</w:t>
      </w:r>
      <w:r w:rsidR="006F741E" w:rsidRPr="00D713FE">
        <w:rPr>
          <w:rFonts w:asciiTheme="majorHAnsi" w:eastAsia="Times New Roman" w:hAnsiTheme="majorHAnsi" w:cstheme="majorHAnsi"/>
          <w:lang w:eastAsia="en-GB"/>
        </w:rPr>
        <w:t xml:space="preserve"> on completion of the Change of PI form (</w:t>
      </w:r>
      <w:r w:rsidR="006F741E" w:rsidRPr="00D713FE">
        <w:rPr>
          <w:rFonts w:asciiTheme="majorHAnsi" w:hAnsiTheme="majorHAnsi" w:cstheme="majorHAnsi"/>
          <w:color w:val="000000" w:themeColor="text1"/>
        </w:rPr>
        <w:t>TB-DOC-SCM2)</w:t>
      </w:r>
      <w:r w:rsidRPr="00D713FE">
        <w:rPr>
          <w:rFonts w:asciiTheme="majorHAnsi" w:eastAsia="Times New Roman" w:hAnsiTheme="majorHAnsi" w:cstheme="majorHAnsi"/>
          <w:lang w:eastAsia="en-GB"/>
        </w:rPr>
        <w:t xml:space="preserve">, but where they retain an honorary </w:t>
      </w:r>
      <w:r w:rsidR="421D3DCD" w:rsidRPr="00D713FE">
        <w:rPr>
          <w:rFonts w:asciiTheme="majorHAnsi" w:eastAsia="Times New Roman" w:hAnsiTheme="majorHAnsi" w:cstheme="majorHAnsi"/>
          <w:lang w:eastAsia="en-GB"/>
        </w:rPr>
        <w:t>contract,</w:t>
      </w:r>
      <w:r w:rsidRPr="00D713FE">
        <w:rPr>
          <w:rFonts w:asciiTheme="majorHAnsi" w:eastAsia="Times New Roman" w:hAnsiTheme="majorHAnsi" w:cstheme="majorHAnsi"/>
          <w:lang w:eastAsia="en-GB"/>
        </w:rPr>
        <w:t xml:space="preserve"> they still retain rights over access to the material.</w:t>
      </w:r>
      <w:r w:rsidR="00411FE3">
        <w:rPr>
          <w:rFonts w:asciiTheme="majorHAnsi" w:eastAsia="Times New Roman" w:hAnsiTheme="majorHAnsi" w:cstheme="majorHAnsi"/>
          <w:lang w:eastAsia="en-GB"/>
        </w:rPr>
        <w:t xml:space="preserve"> </w:t>
      </w:r>
    </w:p>
    <w:p w14:paraId="6ABCACF1" w14:textId="77777777" w:rsidR="008E341E" w:rsidRPr="00D713FE" w:rsidRDefault="008E341E" w:rsidP="00D32193">
      <w:pPr>
        <w:shd w:val="clear" w:color="auto" w:fill="FFFFFF"/>
        <w:spacing w:before="100" w:beforeAutospacing="1" w:after="100" w:afterAutospacing="1"/>
        <w:ind w:left="142" w:right="112" w:firstLine="1"/>
        <w:rPr>
          <w:rFonts w:asciiTheme="majorHAnsi" w:eastAsia="Times New Roman" w:hAnsiTheme="majorHAnsi" w:cstheme="majorHAnsi"/>
          <w:b/>
          <w:lang w:eastAsia="en-GB"/>
        </w:rPr>
      </w:pPr>
      <w:r w:rsidRPr="00D713FE">
        <w:rPr>
          <w:rFonts w:asciiTheme="majorHAnsi" w:eastAsia="Times New Roman" w:hAnsiTheme="majorHAnsi" w:cstheme="majorHAnsi"/>
          <w:b/>
          <w:lang w:eastAsia="en-GB"/>
        </w:rPr>
        <w:t>3.2</w:t>
      </w:r>
      <w:r w:rsidRPr="00D713FE">
        <w:rPr>
          <w:rFonts w:asciiTheme="majorHAnsi" w:eastAsia="Times New Roman" w:hAnsiTheme="majorHAnsi" w:cstheme="majorHAnsi"/>
          <w:b/>
          <w:lang w:eastAsia="en-GB"/>
        </w:rPr>
        <w:tab/>
        <w:t>Transfer to new Institution</w:t>
      </w:r>
    </w:p>
    <w:p w14:paraId="63438299" w14:textId="5B07C0EA" w:rsidR="00E763BF" w:rsidRPr="00D713FE" w:rsidRDefault="00E763BF" w:rsidP="00D32193">
      <w:pPr>
        <w:shd w:val="clear" w:color="auto" w:fill="FFFFFF" w:themeFill="background1"/>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PIs may seek to take their collections with them to their new employer, but this can only be done with the consent of their Head of Department at Imperial and assurances must be provided by the new Institute that the material transferred can be stored appropriately.</w:t>
      </w:r>
      <w:r w:rsidR="00411FE3">
        <w:rPr>
          <w:rFonts w:asciiTheme="majorHAnsi" w:eastAsia="Times New Roman" w:hAnsiTheme="majorHAnsi" w:cstheme="majorHAnsi"/>
          <w:lang w:eastAsia="en-GB"/>
        </w:rPr>
        <w:t xml:space="preserve"> </w:t>
      </w:r>
      <w:r w:rsidRPr="00D713FE">
        <w:rPr>
          <w:rFonts w:asciiTheme="majorHAnsi" w:eastAsia="Times New Roman" w:hAnsiTheme="majorHAnsi" w:cstheme="majorHAnsi"/>
          <w:lang w:eastAsia="en-GB"/>
        </w:rPr>
        <w:t>Removal of samples must be subject to an MTA stating what use can be made of the samples to ensure that the consent provided by the patient is respected.</w:t>
      </w:r>
      <w:r w:rsidR="00411FE3">
        <w:rPr>
          <w:rFonts w:asciiTheme="majorHAnsi" w:eastAsia="Times New Roman" w:hAnsiTheme="majorHAnsi" w:cstheme="majorHAnsi"/>
          <w:lang w:eastAsia="en-GB"/>
        </w:rPr>
        <w:t xml:space="preserve"> </w:t>
      </w:r>
      <w:r w:rsidR="006F741E" w:rsidRPr="00D713FE">
        <w:rPr>
          <w:rFonts w:asciiTheme="majorHAnsi" w:eastAsia="Times New Roman" w:hAnsiTheme="majorHAnsi" w:cstheme="majorHAnsi"/>
          <w:lang w:eastAsia="en-GB"/>
        </w:rPr>
        <w:t>Document TB-DOC-SCM3 covers this procedure.</w:t>
      </w:r>
    </w:p>
    <w:p w14:paraId="2FF61AC0" w14:textId="2846D02B" w:rsidR="006F741E" w:rsidRPr="00D713FE" w:rsidRDefault="006F741E" w:rsidP="00D32193">
      <w:pPr>
        <w:shd w:val="clear" w:color="auto" w:fill="FFFFFF" w:themeFill="background1"/>
        <w:spacing w:before="100" w:beforeAutospacing="1" w:after="100" w:afterAutospacing="1"/>
        <w:ind w:left="142" w:right="112" w:firstLine="1"/>
        <w:jc w:val="both"/>
        <w:rPr>
          <w:rFonts w:asciiTheme="majorHAnsi" w:eastAsia="Times New Roman" w:hAnsiTheme="majorHAnsi" w:cstheme="majorBidi"/>
          <w:lang w:eastAsia="en-GB"/>
        </w:rPr>
      </w:pPr>
      <w:r w:rsidRPr="07A189F8">
        <w:rPr>
          <w:rFonts w:asciiTheme="majorHAnsi" w:eastAsia="Times New Roman" w:hAnsiTheme="majorHAnsi" w:cstheme="majorBidi"/>
          <w:lang w:eastAsia="en-GB"/>
        </w:rPr>
        <w:t>As with all documents relating to sub-collection management</w:t>
      </w:r>
      <w:r w:rsidR="007F4364" w:rsidRPr="07A189F8">
        <w:rPr>
          <w:rFonts w:asciiTheme="majorHAnsi" w:eastAsia="Times New Roman" w:hAnsiTheme="majorHAnsi" w:cstheme="majorBidi"/>
          <w:lang w:eastAsia="en-GB"/>
        </w:rPr>
        <w:t>,</w:t>
      </w:r>
      <w:r w:rsidRPr="07A189F8">
        <w:rPr>
          <w:rFonts w:asciiTheme="majorHAnsi" w:eastAsia="Times New Roman" w:hAnsiTheme="majorHAnsi" w:cstheme="majorBidi"/>
          <w:lang w:eastAsia="en-GB"/>
        </w:rPr>
        <w:t xml:space="preserve"> these </w:t>
      </w:r>
      <w:proofErr w:type="gramStart"/>
      <w:r w:rsidRPr="07A189F8">
        <w:rPr>
          <w:rFonts w:asciiTheme="majorHAnsi" w:eastAsia="Times New Roman" w:hAnsiTheme="majorHAnsi" w:cstheme="majorBidi"/>
          <w:lang w:eastAsia="en-GB"/>
        </w:rPr>
        <w:t>forms</w:t>
      </w:r>
      <w:proofErr w:type="gramEnd"/>
      <w:r w:rsidR="007F4364" w:rsidRPr="07A189F8">
        <w:rPr>
          <w:rFonts w:asciiTheme="majorHAnsi" w:eastAsia="Times New Roman" w:hAnsiTheme="majorHAnsi" w:cstheme="majorBidi"/>
          <w:lang w:eastAsia="en-GB"/>
        </w:rPr>
        <w:t xml:space="preserve"> and their accompanying documentation, when completed,</w:t>
      </w:r>
      <w:r w:rsidRPr="07A189F8">
        <w:rPr>
          <w:rFonts w:asciiTheme="majorHAnsi" w:eastAsia="Times New Roman" w:hAnsiTheme="majorHAnsi" w:cstheme="majorBidi"/>
          <w:lang w:eastAsia="en-GB"/>
        </w:rPr>
        <w:t xml:space="preserve"> should be uploaded to the sub-collection page on the database.</w:t>
      </w:r>
    </w:p>
    <w:p w14:paraId="78593407" w14:textId="31B219A9" w:rsidR="00083601" w:rsidRDefault="00D537B8" w:rsidP="07A189F8">
      <w:pPr>
        <w:pStyle w:val="ListParagraph"/>
        <w:numPr>
          <w:ilvl w:val="0"/>
          <w:numId w:val="16"/>
        </w:numPr>
        <w:shd w:val="clear" w:color="auto" w:fill="FFFFFF" w:themeFill="background1"/>
        <w:spacing w:before="100" w:beforeAutospacing="1" w:after="100" w:afterAutospacing="1"/>
        <w:ind w:right="112" w:hanging="578"/>
        <w:rPr>
          <w:rFonts w:asciiTheme="majorHAnsi" w:eastAsia="Times New Roman" w:hAnsiTheme="majorHAnsi" w:cstheme="majorBidi"/>
          <w:b/>
          <w:lang w:eastAsia="en-GB"/>
        </w:rPr>
      </w:pPr>
      <w:r>
        <w:rPr>
          <w:rFonts w:asciiTheme="majorHAnsi" w:eastAsia="Times New Roman" w:hAnsiTheme="majorHAnsi" w:cstheme="majorBidi"/>
          <w:b/>
          <w:lang w:eastAsia="en-GB"/>
        </w:rPr>
        <w:t xml:space="preserve">Database usage and </w:t>
      </w:r>
      <w:r w:rsidR="000E0850" w:rsidRPr="000E0850">
        <w:rPr>
          <w:rFonts w:asciiTheme="majorHAnsi" w:eastAsia="Times New Roman" w:hAnsiTheme="majorHAnsi" w:cstheme="majorBidi"/>
          <w:b/>
          <w:lang w:eastAsia="en-GB"/>
        </w:rPr>
        <w:t>Naming conventions</w:t>
      </w:r>
    </w:p>
    <w:p w14:paraId="65D9C41E" w14:textId="2846D02B" w:rsidR="00083601" w:rsidRPr="00083601" w:rsidRDefault="00083601" w:rsidP="07A189F8">
      <w:pPr>
        <w:pStyle w:val="ListParagraph"/>
        <w:shd w:val="clear" w:color="auto" w:fill="FFFFFF" w:themeFill="background1"/>
        <w:spacing w:before="100" w:beforeAutospacing="1" w:after="100" w:afterAutospacing="1"/>
        <w:ind w:right="112"/>
        <w:rPr>
          <w:rFonts w:asciiTheme="majorHAnsi" w:eastAsia="Times New Roman" w:hAnsiTheme="majorHAnsi" w:cstheme="majorBidi"/>
          <w:b/>
          <w:lang w:eastAsia="en-GB"/>
        </w:rPr>
      </w:pPr>
    </w:p>
    <w:p w14:paraId="18FDAB6D" w14:textId="244AAB45" w:rsidR="004E6BA4" w:rsidRDefault="007905EF" w:rsidP="00083601">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r w:rsidRPr="007905EF">
        <w:rPr>
          <w:rFonts w:asciiTheme="majorHAnsi" w:eastAsia="Times New Roman" w:hAnsiTheme="majorHAnsi" w:cstheme="majorHAnsi"/>
          <w:bCs/>
          <w:lang w:eastAsia="en-GB"/>
        </w:rPr>
        <w:t xml:space="preserve">All </w:t>
      </w:r>
      <w:r w:rsidR="008176A2">
        <w:rPr>
          <w:rFonts w:asciiTheme="majorHAnsi" w:eastAsia="Times New Roman" w:hAnsiTheme="majorHAnsi" w:cstheme="majorHAnsi"/>
          <w:bCs/>
          <w:lang w:eastAsia="en-GB"/>
        </w:rPr>
        <w:t xml:space="preserve">new sub collections must use the </w:t>
      </w:r>
      <w:r w:rsidR="004E6BA4">
        <w:rPr>
          <w:rFonts w:asciiTheme="majorHAnsi" w:eastAsia="Times New Roman" w:hAnsiTheme="majorHAnsi" w:cstheme="majorHAnsi"/>
          <w:bCs/>
          <w:lang w:eastAsia="en-GB"/>
        </w:rPr>
        <w:t xml:space="preserve">Tissue Bank database to track </w:t>
      </w:r>
      <w:r w:rsidR="00075D3F">
        <w:rPr>
          <w:rFonts w:asciiTheme="majorHAnsi" w:eastAsia="Times New Roman" w:hAnsiTheme="majorHAnsi" w:cstheme="majorHAnsi"/>
          <w:bCs/>
          <w:lang w:eastAsia="en-GB"/>
        </w:rPr>
        <w:t>their samples from acquisition to allocation to research projects (or destruction).</w:t>
      </w:r>
    </w:p>
    <w:p w14:paraId="6229FBE4" w14:textId="77777777" w:rsidR="0095314A" w:rsidRDefault="0095314A" w:rsidP="00083601">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p>
    <w:p w14:paraId="4C34B780" w14:textId="15A41B91" w:rsidR="0095314A" w:rsidRDefault="0095314A" w:rsidP="00083601">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r>
        <w:rPr>
          <w:rFonts w:asciiTheme="majorHAnsi" w:eastAsia="Times New Roman" w:hAnsiTheme="majorHAnsi" w:cstheme="majorHAnsi"/>
          <w:bCs/>
          <w:lang w:eastAsia="en-GB"/>
        </w:rPr>
        <w:t xml:space="preserve">Database link: </w:t>
      </w:r>
      <w:hyperlink r:id="rId13" w:history="1">
        <w:r w:rsidR="00080A0A" w:rsidRPr="0061308D">
          <w:rPr>
            <w:rStyle w:val="Hyperlink"/>
            <w:rFonts w:asciiTheme="majorHAnsi" w:eastAsia="Times New Roman" w:hAnsiTheme="majorHAnsi" w:cstheme="majorHAnsi"/>
            <w:bCs/>
            <w:lang w:eastAsia="en-GB"/>
          </w:rPr>
          <w:t>https://ichtb.med.ic.ac.uk/</w:t>
        </w:r>
      </w:hyperlink>
      <w:r w:rsidR="00080A0A">
        <w:rPr>
          <w:rFonts w:asciiTheme="majorHAnsi" w:eastAsia="Times New Roman" w:hAnsiTheme="majorHAnsi" w:cstheme="majorHAnsi"/>
          <w:bCs/>
          <w:lang w:eastAsia="en-GB"/>
        </w:rPr>
        <w:t xml:space="preserve"> </w:t>
      </w:r>
    </w:p>
    <w:p w14:paraId="12378708" w14:textId="77777777" w:rsidR="00075D3F" w:rsidRDefault="00075D3F" w:rsidP="00083601">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p>
    <w:p w14:paraId="49AD5D88" w14:textId="77777777" w:rsidR="00EC107C" w:rsidRPr="00EC107C" w:rsidRDefault="00EC107C" w:rsidP="00EC107C">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r w:rsidRPr="00EC107C">
        <w:rPr>
          <w:rFonts w:asciiTheme="majorHAnsi" w:eastAsia="Times New Roman" w:hAnsiTheme="majorHAnsi" w:cstheme="majorHAnsi"/>
          <w:bCs/>
          <w:lang w:eastAsia="en-GB"/>
        </w:rPr>
        <w:t>The Database has access restrictions in place to ensure the security of details stored:</w:t>
      </w:r>
    </w:p>
    <w:p w14:paraId="1DEE3F5B" w14:textId="6A0EEFED" w:rsidR="00EC107C" w:rsidRPr="00EC107C" w:rsidRDefault="00E34CFC" w:rsidP="00EC107C">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r>
        <w:rPr>
          <w:rFonts w:asciiTheme="majorHAnsi" w:eastAsia="Times New Roman" w:hAnsiTheme="majorHAnsi" w:cstheme="majorHAnsi"/>
          <w:bCs/>
          <w:lang w:eastAsia="en-GB"/>
        </w:rPr>
        <w:t xml:space="preserve">Please refer to the </w:t>
      </w:r>
      <w:hyperlink r:id="rId14" w:history="1">
        <w:r w:rsidRPr="00760AC7">
          <w:rPr>
            <w:rStyle w:val="Hyperlink"/>
            <w:rFonts w:asciiTheme="majorHAnsi" w:eastAsia="Times New Roman" w:hAnsiTheme="majorHAnsi" w:cstheme="majorHAnsi"/>
            <w:bCs/>
            <w:lang w:eastAsia="en-GB"/>
          </w:rPr>
          <w:t>Database Acce</w:t>
        </w:r>
        <w:r w:rsidR="00B05AAB" w:rsidRPr="00760AC7">
          <w:rPr>
            <w:rStyle w:val="Hyperlink"/>
            <w:rFonts w:asciiTheme="majorHAnsi" w:eastAsia="Times New Roman" w:hAnsiTheme="majorHAnsi" w:cstheme="majorHAnsi"/>
            <w:bCs/>
            <w:lang w:eastAsia="en-GB"/>
          </w:rPr>
          <w:t>s</w:t>
        </w:r>
        <w:r w:rsidRPr="00760AC7">
          <w:rPr>
            <w:rStyle w:val="Hyperlink"/>
            <w:rFonts w:asciiTheme="majorHAnsi" w:eastAsia="Times New Roman" w:hAnsiTheme="majorHAnsi" w:cstheme="majorHAnsi"/>
            <w:bCs/>
            <w:lang w:eastAsia="en-GB"/>
          </w:rPr>
          <w:t>s</w:t>
        </w:r>
      </w:hyperlink>
      <w:r>
        <w:rPr>
          <w:rFonts w:asciiTheme="majorHAnsi" w:eastAsia="Times New Roman" w:hAnsiTheme="majorHAnsi" w:cstheme="majorHAnsi"/>
          <w:bCs/>
          <w:lang w:eastAsia="en-GB"/>
        </w:rPr>
        <w:t xml:space="preserve"> </w:t>
      </w:r>
      <w:r w:rsidR="00B05AAB">
        <w:rPr>
          <w:rFonts w:asciiTheme="majorHAnsi" w:eastAsia="Times New Roman" w:hAnsiTheme="majorHAnsi" w:cstheme="majorHAnsi"/>
          <w:bCs/>
          <w:lang w:eastAsia="en-GB"/>
        </w:rPr>
        <w:t xml:space="preserve">page </w:t>
      </w:r>
      <w:r w:rsidR="00760AC7">
        <w:rPr>
          <w:rFonts w:asciiTheme="majorHAnsi" w:eastAsia="Times New Roman" w:hAnsiTheme="majorHAnsi" w:cstheme="majorHAnsi"/>
          <w:bCs/>
          <w:lang w:eastAsia="en-GB"/>
        </w:rPr>
        <w:t xml:space="preserve">to </w:t>
      </w:r>
      <w:r w:rsidR="00524DA2">
        <w:rPr>
          <w:rFonts w:asciiTheme="majorHAnsi" w:eastAsia="Times New Roman" w:hAnsiTheme="majorHAnsi" w:cstheme="majorHAnsi"/>
          <w:bCs/>
          <w:lang w:eastAsia="en-GB"/>
        </w:rPr>
        <w:t>see options for logging in.</w:t>
      </w:r>
    </w:p>
    <w:p w14:paraId="580144C6" w14:textId="77777777" w:rsidR="00EC107C" w:rsidRPr="00EC107C" w:rsidRDefault="00EC107C" w:rsidP="00EC107C">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p>
    <w:p w14:paraId="43B83B0B" w14:textId="77777777" w:rsidR="00EC107C" w:rsidRPr="00EC107C" w:rsidRDefault="00EC107C" w:rsidP="00EC107C">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r w:rsidRPr="00EC107C">
        <w:rPr>
          <w:rFonts w:asciiTheme="majorHAnsi" w:eastAsia="Times New Roman" w:hAnsiTheme="majorHAnsi" w:cstheme="majorHAnsi"/>
          <w:bCs/>
          <w:lang w:eastAsia="en-GB"/>
        </w:rPr>
        <w:t>Login details: Once set up as a user, please use your ICL login details, we do not hold your login details.</w:t>
      </w:r>
    </w:p>
    <w:p w14:paraId="0DBDEA0B" w14:textId="77777777" w:rsidR="00EC107C" w:rsidRPr="00EC107C" w:rsidRDefault="00EC107C" w:rsidP="00EC107C">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p>
    <w:p w14:paraId="49C861B1" w14:textId="77777777" w:rsidR="00EC107C" w:rsidRPr="00EC107C" w:rsidRDefault="00EC107C" w:rsidP="00EC107C">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r w:rsidRPr="00EC107C">
        <w:rPr>
          <w:rFonts w:asciiTheme="majorHAnsi" w:eastAsia="Times New Roman" w:hAnsiTheme="majorHAnsi" w:cstheme="majorHAnsi"/>
          <w:bCs/>
          <w:lang w:eastAsia="en-GB"/>
        </w:rPr>
        <w:t>If you are not yet set up as a user, please click on “Apply for an account”, you will be contacted by the tissue bank team to confirm your requirements.</w:t>
      </w:r>
    </w:p>
    <w:p w14:paraId="275897E6" w14:textId="77777777" w:rsidR="00EC107C" w:rsidRPr="00EC107C" w:rsidRDefault="00EC107C" w:rsidP="00EC107C">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p>
    <w:p w14:paraId="07BAA9CF" w14:textId="0CC808CE" w:rsidR="00075D3F" w:rsidRDefault="00EC107C" w:rsidP="00EC107C">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r w:rsidRPr="00EC107C">
        <w:rPr>
          <w:rFonts w:asciiTheme="majorHAnsi" w:eastAsia="Times New Roman" w:hAnsiTheme="majorHAnsi" w:cstheme="majorHAnsi"/>
          <w:bCs/>
          <w:lang w:eastAsia="en-GB"/>
        </w:rPr>
        <w:t xml:space="preserve">Once logged into the system, please download the User Guide which can be found at the top of the </w:t>
      </w:r>
      <w:proofErr w:type="gramStart"/>
      <w:r w:rsidRPr="00EC107C">
        <w:rPr>
          <w:rFonts w:asciiTheme="majorHAnsi" w:eastAsia="Times New Roman" w:hAnsiTheme="majorHAnsi" w:cstheme="majorHAnsi"/>
          <w:bCs/>
          <w:lang w:eastAsia="en-GB"/>
        </w:rPr>
        <w:t>left hand</w:t>
      </w:r>
      <w:proofErr w:type="gramEnd"/>
      <w:r w:rsidRPr="00EC107C">
        <w:rPr>
          <w:rFonts w:asciiTheme="majorHAnsi" w:eastAsia="Times New Roman" w:hAnsiTheme="majorHAnsi" w:cstheme="majorHAnsi"/>
          <w:bCs/>
          <w:lang w:eastAsia="en-GB"/>
        </w:rPr>
        <w:t xml:space="preserve"> side menu.</w:t>
      </w:r>
    </w:p>
    <w:p w14:paraId="7BDB39F0" w14:textId="77777777" w:rsidR="00075D3F" w:rsidRDefault="00075D3F" w:rsidP="00083601">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p>
    <w:p w14:paraId="7D85AC35" w14:textId="1F8F4EEC" w:rsidR="007905EF" w:rsidRPr="007905EF" w:rsidRDefault="00F52837" w:rsidP="00083601">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r>
        <w:rPr>
          <w:rFonts w:asciiTheme="majorHAnsi" w:eastAsia="Times New Roman" w:hAnsiTheme="majorHAnsi" w:cstheme="majorHAnsi"/>
          <w:bCs/>
          <w:lang w:eastAsia="en-GB"/>
        </w:rPr>
        <w:t xml:space="preserve">All new </w:t>
      </w:r>
      <w:r w:rsidR="007905EF" w:rsidRPr="007905EF">
        <w:rPr>
          <w:rFonts w:asciiTheme="majorHAnsi" w:eastAsia="Times New Roman" w:hAnsiTheme="majorHAnsi" w:cstheme="majorHAnsi"/>
          <w:bCs/>
          <w:lang w:eastAsia="en-GB"/>
        </w:rPr>
        <w:t>sub collections must implement naming conventions for Donor IDs and Sample IDs. The naming conventions</w:t>
      </w:r>
      <w:r w:rsidR="00C42821">
        <w:rPr>
          <w:rFonts w:asciiTheme="majorHAnsi" w:eastAsia="Times New Roman" w:hAnsiTheme="majorHAnsi" w:cstheme="majorHAnsi"/>
          <w:bCs/>
          <w:lang w:eastAsia="en-GB"/>
        </w:rPr>
        <w:t>:</w:t>
      </w:r>
    </w:p>
    <w:p w14:paraId="0C2C60DF" w14:textId="77777777" w:rsidR="007905EF" w:rsidRPr="007905EF" w:rsidRDefault="007905EF" w:rsidP="00C42821">
      <w:pPr>
        <w:pStyle w:val="ListParagraph"/>
        <w:numPr>
          <w:ilvl w:val="0"/>
          <w:numId w:val="18"/>
        </w:numPr>
        <w:shd w:val="clear" w:color="auto" w:fill="FFFFFF"/>
        <w:spacing w:before="100" w:beforeAutospacing="1" w:after="100" w:afterAutospacing="1"/>
        <w:ind w:right="112"/>
        <w:rPr>
          <w:rFonts w:asciiTheme="majorHAnsi" w:eastAsia="Times New Roman" w:hAnsiTheme="majorHAnsi" w:cstheme="majorHAnsi"/>
          <w:bCs/>
          <w:lang w:eastAsia="en-GB"/>
        </w:rPr>
      </w:pPr>
      <w:r w:rsidRPr="007905EF">
        <w:rPr>
          <w:rFonts w:asciiTheme="majorHAnsi" w:eastAsia="Times New Roman" w:hAnsiTheme="majorHAnsi" w:cstheme="majorHAnsi"/>
          <w:bCs/>
          <w:lang w:eastAsia="en-GB"/>
        </w:rPr>
        <w:lastRenderedPageBreak/>
        <w:t>Must be unique to the sub collection</w:t>
      </w:r>
    </w:p>
    <w:p w14:paraId="1D8D08FB" w14:textId="77777777" w:rsidR="007905EF" w:rsidRPr="007905EF" w:rsidRDefault="007905EF" w:rsidP="00C42821">
      <w:pPr>
        <w:pStyle w:val="ListParagraph"/>
        <w:numPr>
          <w:ilvl w:val="0"/>
          <w:numId w:val="18"/>
        </w:numPr>
        <w:shd w:val="clear" w:color="auto" w:fill="FFFFFF"/>
        <w:spacing w:before="100" w:beforeAutospacing="1" w:after="100" w:afterAutospacing="1"/>
        <w:ind w:right="112"/>
        <w:rPr>
          <w:rFonts w:asciiTheme="majorHAnsi" w:eastAsia="Times New Roman" w:hAnsiTheme="majorHAnsi" w:cstheme="majorHAnsi"/>
          <w:bCs/>
          <w:lang w:eastAsia="en-GB"/>
        </w:rPr>
      </w:pPr>
      <w:r w:rsidRPr="007905EF">
        <w:rPr>
          <w:rFonts w:asciiTheme="majorHAnsi" w:eastAsia="Times New Roman" w:hAnsiTheme="majorHAnsi" w:cstheme="majorHAnsi"/>
          <w:bCs/>
          <w:lang w:eastAsia="en-GB"/>
        </w:rPr>
        <w:t>Must be unique to each donor / sample (including aliquots coming from the same parent sample)</w:t>
      </w:r>
    </w:p>
    <w:p w14:paraId="469E40FA" w14:textId="77777777" w:rsidR="00C42821" w:rsidRDefault="007905EF" w:rsidP="00C42821">
      <w:pPr>
        <w:pStyle w:val="ListParagraph"/>
        <w:numPr>
          <w:ilvl w:val="0"/>
          <w:numId w:val="18"/>
        </w:numPr>
        <w:shd w:val="clear" w:color="auto" w:fill="FFFFFF"/>
        <w:spacing w:before="100" w:beforeAutospacing="1" w:after="100" w:afterAutospacing="1"/>
        <w:ind w:right="112"/>
        <w:rPr>
          <w:rFonts w:asciiTheme="majorHAnsi" w:eastAsia="Times New Roman" w:hAnsiTheme="majorHAnsi" w:cstheme="majorHAnsi"/>
          <w:bCs/>
          <w:lang w:eastAsia="en-GB"/>
        </w:rPr>
      </w:pPr>
      <w:r w:rsidRPr="007905EF">
        <w:rPr>
          <w:rFonts w:asciiTheme="majorHAnsi" w:eastAsia="Times New Roman" w:hAnsiTheme="majorHAnsi" w:cstheme="majorHAnsi"/>
          <w:bCs/>
          <w:lang w:eastAsia="en-GB"/>
        </w:rPr>
        <w:t>Must not include any NHS or hospital numbers, initials, or date of birth</w:t>
      </w:r>
    </w:p>
    <w:p w14:paraId="12E4E14C" w14:textId="52404DA2" w:rsidR="00B44AAE" w:rsidRDefault="00B44AAE" w:rsidP="00B44AAE">
      <w:pPr>
        <w:shd w:val="clear" w:color="auto" w:fill="FFFFFF"/>
        <w:spacing w:before="100" w:beforeAutospacing="1" w:after="100" w:afterAutospacing="1"/>
        <w:ind w:left="142" w:right="112"/>
        <w:rPr>
          <w:rFonts w:asciiTheme="majorHAnsi" w:eastAsia="Times New Roman" w:hAnsiTheme="majorHAnsi" w:cstheme="majorHAnsi"/>
          <w:bCs/>
          <w:lang w:eastAsia="en-GB"/>
        </w:rPr>
      </w:pPr>
      <w:r>
        <w:rPr>
          <w:rFonts w:asciiTheme="majorHAnsi" w:eastAsia="Times New Roman" w:hAnsiTheme="majorHAnsi" w:cstheme="majorHAnsi"/>
          <w:bCs/>
          <w:lang w:eastAsia="en-GB"/>
        </w:rPr>
        <w:t>Please follow the following naming convention:</w:t>
      </w:r>
    </w:p>
    <w:p w14:paraId="07C0B407" w14:textId="5C1C3F1D" w:rsidR="002D6B04" w:rsidRDefault="00C500CA" w:rsidP="00A7475F">
      <w:pPr>
        <w:shd w:val="clear" w:color="auto" w:fill="FFFFFF"/>
        <w:ind w:left="142" w:right="113"/>
        <w:rPr>
          <w:rFonts w:asciiTheme="majorHAnsi" w:eastAsia="Times New Roman" w:hAnsiTheme="majorHAnsi" w:cstheme="majorHAnsi"/>
          <w:bCs/>
          <w:lang w:eastAsia="en-GB"/>
        </w:rPr>
      </w:pPr>
      <w:r>
        <w:rPr>
          <w:rFonts w:asciiTheme="majorHAnsi" w:eastAsia="Times New Roman" w:hAnsiTheme="majorHAnsi" w:cstheme="majorHAnsi"/>
          <w:bCs/>
          <w:lang w:eastAsia="en-GB"/>
        </w:rPr>
        <w:t>F</w:t>
      </w:r>
      <w:r w:rsidRPr="00C500CA">
        <w:rPr>
          <w:rFonts w:asciiTheme="majorHAnsi" w:eastAsia="Times New Roman" w:hAnsiTheme="majorHAnsi" w:cstheme="majorHAnsi"/>
          <w:bCs/>
          <w:lang w:eastAsia="en-GB"/>
        </w:rPr>
        <w:t>or donors</w:t>
      </w:r>
      <w:r>
        <w:rPr>
          <w:rFonts w:asciiTheme="majorHAnsi" w:eastAsia="Times New Roman" w:hAnsiTheme="majorHAnsi" w:cstheme="majorHAnsi"/>
          <w:bCs/>
          <w:lang w:eastAsia="en-GB"/>
        </w:rPr>
        <w:t xml:space="preserve">: </w:t>
      </w:r>
      <w:r w:rsidRPr="00C500CA">
        <w:rPr>
          <w:rFonts w:asciiTheme="majorHAnsi" w:eastAsia="Times New Roman" w:hAnsiTheme="majorHAnsi" w:cstheme="majorHAnsi"/>
          <w:bCs/>
          <w:lang w:eastAsia="en-GB"/>
        </w:rPr>
        <w:t>&lt;</w:t>
      </w:r>
      <w:r w:rsidRPr="00DF3C7B">
        <w:rPr>
          <w:rFonts w:asciiTheme="majorHAnsi" w:eastAsia="Times New Roman" w:hAnsiTheme="majorHAnsi" w:cstheme="majorHAnsi"/>
          <w:bCs/>
          <w:highlight w:val="yellow"/>
          <w:lang w:eastAsia="en-GB"/>
        </w:rPr>
        <w:t xml:space="preserve">donor </w:t>
      </w:r>
      <w:r w:rsidR="002D6B04" w:rsidRPr="00DF3C7B">
        <w:rPr>
          <w:rFonts w:asciiTheme="majorHAnsi" w:eastAsia="Times New Roman" w:hAnsiTheme="majorHAnsi" w:cstheme="majorHAnsi"/>
          <w:bCs/>
          <w:highlight w:val="yellow"/>
          <w:lang w:eastAsia="en-GB"/>
        </w:rPr>
        <w:t>id</w:t>
      </w:r>
      <w:r w:rsidRPr="00C500CA">
        <w:rPr>
          <w:rFonts w:asciiTheme="majorHAnsi" w:eastAsia="Times New Roman" w:hAnsiTheme="majorHAnsi" w:cstheme="majorHAnsi"/>
          <w:bCs/>
          <w:lang w:eastAsia="en-GB"/>
        </w:rPr>
        <w:t>&gt;_&lt;</w:t>
      </w:r>
      <w:proofErr w:type="spellStart"/>
      <w:r w:rsidRPr="00C500CA">
        <w:rPr>
          <w:rFonts w:asciiTheme="majorHAnsi" w:eastAsia="Times New Roman" w:hAnsiTheme="majorHAnsi" w:cstheme="majorHAnsi"/>
          <w:bCs/>
          <w:lang w:eastAsia="en-GB"/>
        </w:rPr>
        <w:t>subcollection_id</w:t>
      </w:r>
      <w:proofErr w:type="spellEnd"/>
      <w:r w:rsidRPr="00C500CA">
        <w:rPr>
          <w:rFonts w:asciiTheme="majorHAnsi" w:eastAsia="Times New Roman" w:hAnsiTheme="majorHAnsi" w:cstheme="majorHAnsi"/>
          <w:bCs/>
          <w:lang w:eastAsia="en-GB"/>
        </w:rPr>
        <w:t>&gt;</w:t>
      </w:r>
    </w:p>
    <w:p w14:paraId="72ED2B4F" w14:textId="2021BB24" w:rsidR="00C500CA" w:rsidRPr="00C500CA" w:rsidRDefault="00C500CA" w:rsidP="00A7475F">
      <w:pPr>
        <w:shd w:val="clear" w:color="auto" w:fill="FFFFFF"/>
        <w:ind w:left="142" w:right="113"/>
        <w:rPr>
          <w:rFonts w:asciiTheme="majorHAnsi" w:eastAsia="Times New Roman" w:hAnsiTheme="majorHAnsi" w:cstheme="majorHAnsi"/>
          <w:bCs/>
          <w:lang w:eastAsia="en-GB"/>
        </w:rPr>
      </w:pPr>
      <w:r w:rsidRPr="00C500CA">
        <w:rPr>
          <w:rFonts w:asciiTheme="majorHAnsi" w:eastAsia="Times New Roman" w:hAnsiTheme="majorHAnsi" w:cstheme="majorHAnsi"/>
          <w:bCs/>
          <w:lang w:eastAsia="en-GB"/>
        </w:rPr>
        <w:t>For samples</w:t>
      </w:r>
      <w:r w:rsidR="002D6B04">
        <w:rPr>
          <w:rFonts w:asciiTheme="majorHAnsi" w:eastAsia="Times New Roman" w:hAnsiTheme="majorHAnsi" w:cstheme="majorHAnsi"/>
          <w:bCs/>
          <w:lang w:eastAsia="en-GB"/>
        </w:rPr>
        <w:t xml:space="preserve">: </w:t>
      </w:r>
      <w:r w:rsidRPr="00C500CA">
        <w:rPr>
          <w:rFonts w:asciiTheme="majorHAnsi" w:eastAsia="Times New Roman" w:hAnsiTheme="majorHAnsi" w:cstheme="majorHAnsi"/>
          <w:bCs/>
          <w:lang w:eastAsia="en-GB"/>
        </w:rPr>
        <w:t>&lt;</w:t>
      </w:r>
      <w:proofErr w:type="spellStart"/>
      <w:r w:rsidRPr="00DF3C7B">
        <w:rPr>
          <w:rFonts w:asciiTheme="majorHAnsi" w:eastAsia="Times New Roman" w:hAnsiTheme="majorHAnsi" w:cstheme="majorHAnsi"/>
          <w:bCs/>
          <w:highlight w:val="green"/>
          <w:lang w:eastAsia="en-GB"/>
        </w:rPr>
        <w:t>sample_id</w:t>
      </w:r>
      <w:proofErr w:type="spellEnd"/>
      <w:r w:rsidRPr="00C500CA">
        <w:rPr>
          <w:rFonts w:asciiTheme="majorHAnsi" w:eastAsia="Times New Roman" w:hAnsiTheme="majorHAnsi" w:cstheme="majorHAnsi"/>
          <w:bCs/>
          <w:lang w:eastAsia="en-GB"/>
        </w:rPr>
        <w:t>&gt;_&lt;</w:t>
      </w:r>
      <w:proofErr w:type="spellStart"/>
      <w:r w:rsidRPr="00C500CA">
        <w:rPr>
          <w:rFonts w:asciiTheme="majorHAnsi" w:eastAsia="Times New Roman" w:hAnsiTheme="majorHAnsi" w:cstheme="majorHAnsi"/>
          <w:bCs/>
          <w:lang w:eastAsia="en-GB"/>
        </w:rPr>
        <w:t>donor_id</w:t>
      </w:r>
      <w:proofErr w:type="spellEnd"/>
      <w:r w:rsidRPr="00C500CA">
        <w:rPr>
          <w:rFonts w:asciiTheme="majorHAnsi" w:eastAsia="Times New Roman" w:hAnsiTheme="majorHAnsi" w:cstheme="majorHAnsi"/>
          <w:bCs/>
          <w:lang w:eastAsia="en-GB"/>
        </w:rPr>
        <w:t>&gt;_&lt;</w:t>
      </w:r>
      <w:proofErr w:type="spellStart"/>
      <w:r w:rsidRPr="00C500CA">
        <w:rPr>
          <w:rFonts w:asciiTheme="majorHAnsi" w:eastAsia="Times New Roman" w:hAnsiTheme="majorHAnsi" w:cstheme="majorHAnsi"/>
          <w:bCs/>
          <w:lang w:eastAsia="en-GB"/>
        </w:rPr>
        <w:t>subcollection_id</w:t>
      </w:r>
      <w:proofErr w:type="spellEnd"/>
      <w:r w:rsidRPr="00C500CA">
        <w:rPr>
          <w:rFonts w:asciiTheme="majorHAnsi" w:eastAsia="Times New Roman" w:hAnsiTheme="majorHAnsi" w:cstheme="majorHAnsi"/>
          <w:bCs/>
          <w:lang w:eastAsia="en-GB"/>
        </w:rPr>
        <w:t>&gt;</w:t>
      </w:r>
    </w:p>
    <w:p w14:paraId="7B77246F" w14:textId="10879A27" w:rsidR="00B44AAE" w:rsidRPr="00B44AAE" w:rsidRDefault="00C500CA" w:rsidP="00A7475F">
      <w:pPr>
        <w:shd w:val="clear" w:color="auto" w:fill="FFFFFF"/>
        <w:ind w:left="142" w:right="113"/>
        <w:rPr>
          <w:rFonts w:asciiTheme="majorHAnsi" w:eastAsia="Times New Roman" w:hAnsiTheme="majorHAnsi" w:cstheme="majorHAnsi"/>
          <w:bCs/>
          <w:lang w:eastAsia="en-GB"/>
        </w:rPr>
      </w:pPr>
      <w:r w:rsidRPr="00C500CA">
        <w:rPr>
          <w:rFonts w:asciiTheme="majorHAnsi" w:eastAsia="Times New Roman" w:hAnsiTheme="majorHAnsi" w:cstheme="majorHAnsi"/>
          <w:bCs/>
          <w:lang w:eastAsia="en-GB"/>
        </w:rPr>
        <w:t>For</w:t>
      </w:r>
      <w:r w:rsidR="002D6B04">
        <w:rPr>
          <w:rFonts w:asciiTheme="majorHAnsi" w:eastAsia="Times New Roman" w:hAnsiTheme="majorHAnsi" w:cstheme="majorHAnsi"/>
          <w:bCs/>
          <w:lang w:eastAsia="en-GB"/>
        </w:rPr>
        <w:t xml:space="preserve"> </w:t>
      </w:r>
      <w:r w:rsidRPr="00C500CA">
        <w:rPr>
          <w:rFonts w:asciiTheme="majorHAnsi" w:eastAsia="Times New Roman" w:hAnsiTheme="majorHAnsi" w:cstheme="majorHAnsi"/>
          <w:bCs/>
          <w:lang w:eastAsia="en-GB"/>
        </w:rPr>
        <w:t>extracts</w:t>
      </w:r>
      <w:r w:rsidR="002D6B04">
        <w:rPr>
          <w:rFonts w:asciiTheme="majorHAnsi" w:eastAsia="Times New Roman" w:hAnsiTheme="majorHAnsi" w:cstheme="majorHAnsi"/>
          <w:bCs/>
          <w:lang w:eastAsia="en-GB"/>
        </w:rPr>
        <w:t xml:space="preserve">: </w:t>
      </w:r>
      <w:r w:rsidRPr="00C500CA">
        <w:rPr>
          <w:rFonts w:asciiTheme="majorHAnsi" w:eastAsia="Times New Roman" w:hAnsiTheme="majorHAnsi" w:cstheme="majorHAnsi"/>
          <w:bCs/>
          <w:lang w:eastAsia="en-GB"/>
        </w:rPr>
        <w:t>&lt;</w:t>
      </w:r>
      <w:proofErr w:type="spellStart"/>
      <w:r w:rsidRPr="00DF3C7B">
        <w:rPr>
          <w:rFonts w:asciiTheme="majorHAnsi" w:eastAsia="Times New Roman" w:hAnsiTheme="majorHAnsi" w:cstheme="majorHAnsi"/>
          <w:bCs/>
          <w:highlight w:val="cyan"/>
          <w:lang w:eastAsia="en-GB"/>
        </w:rPr>
        <w:t>extract_id</w:t>
      </w:r>
      <w:proofErr w:type="spellEnd"/>
      <w:r w:rsidRPr="00C500CA">
        <w:rPr>
          <w:rFonts w:asciiTheme="majorHAnsi" w:eastAsia="Times New Roman" w:hAnsiTheme="majorHAnsi" w:cstheme="majorHAnsi"/>
          <w:bCs/>
          <w:lang w:eastAsia="en-GB"/>
        </w:rPr>
        <w:t>&gt;_&lt;</w:t>
      </w:r>
      <w:proofErr w:type="spellStart"/>
      <w:r w:rsidRPr="00C500CA">
        <w:rPr>
          <w:rFonts w:asciiTheme="majorHAnsi" w:eastAsia="Times New Roman" w:hAnsiTheme="majorHAnsi" w:cstheme="majorHAnsi"/>
          <w:bCs/>
          <w:lang w:eastAsia="en-GB"/>
        </w:rPr>
        <w:t>sample_id</w:t>
      </w:r>
      <w:proofErr w:type="spellEnd"/>
      <w:r w:rsidRPr="00C500CA">
        <w:rPr>
          <w:rFonts w:asciiTheme="majorHAnsi" w:eastAsia="Times New Roman" w:hAnsiTheme="majorHAnsi" w:cstheme="majorHAnsi"/>
          <w:bCs/>
          <w:lang w:eastAsia="en-GB"/>
        </w:rPr>
        <w:t>&gt;_&lt;</w:t>
      </w:r>
      <w:proofErr w:type="spellStart"/>
      <w:r w:rsidRPr="00C500CA">
        <w:rPr>
          <w:rFonts w:asciiTheme="majorHAnsi" w:eastAsia="Times New Roman" w:hAnsiTheme="majorHAnsi" w:cstheme="majorHAnsi"/>
          <w:bCs/>
          <w:lang w:eastAsia="en-GB"/>
        </w:rPr>
        <w:t>donor_id</w:t>
      </w:r>
      <w:proofErr w:type="spellEnd"/>
      <w:r w:rsidRPr="00C500CA">
        <w:rPr>
          <w:rFonts w:asciiTheme="majorHAnsi" w:eastAsia="Times New Roman" w:hAnsiTheme="majorHAnsi" w:cstheme="majorHAnsi"/>
          <w:bCs/>
          <w:lang w:eastAsia="en-GB"/>
        </w:rPr>
        <w:t>&gt;_&lt;</w:t>
      </w:r>
      <w:proofErr w:type="spellStart"/>
      <w:r w:rsidRPr="00C500CA">
        <w:rPr>
          <w:rFonts w:asciiTheme="majorHAnsi" w:eastAsia="Times New Roman" w:hAnsiTheme="majorHAnsi" w:cstheme="majorHAnsi"/>
          <w:bCs/>
          <w:lang w:eastAsia="en-GB"/>
        </w:rPr>
        <w:t>subcollection_id</w:t>
      </w:r>
      <w:proofErr w:type="spellEnd"/>
      <w:r w:rsidRPr="00C500CA">
        <w:rPr>
          <w:rFonts w:asciiTheme="majorHAnsi" w:eastAsia="Times New Roman" w:hAnsiTheme="majorHAnsi" w:cstheme="majorHAnsi"/>
          <w:bCs/>
          <w:lang w:eastAsia="en-GB"/>
        </w:rPr>
        <w:t>&gt;</w:t>
      </w:r>
    </w:p>
    <w:p w14:paraId="596AA5FE" w14:textId="77777777" w:rsidR="00C42821" w:rsidRPr="00C42821" w:rsidRDefault="00C42821" w:rsidP="00C42821">
      <w:pPr>
        <w:pStyle w:val="ListParagraph"/>
        <w:shd w:val="clear" w:color="auto" w:fill="FFFFFF"/>
        <w:spacing w:before="100" w:beforeAutospacing="1" w:after="100" w:afterAutospacing="1"/>
        <w:ind w:left="862" w:right="112"/>
        <w:rPr>
          <w:rFonts w:asciiTheme="majorHAnsi" w:eastAsia="Times New Roman" w:hAnsiTheme="majorHAnsi" w:cstheme="majorHAnsi"/>
          <w:bCs/>
          <w:lang w:eastAsia="en-GB"/>
        </w:rPr>
      </w:pPr>
    </w:p>
    <w:p w14:paraId="402F8EB6" w14:textId="47A1DCA0" w:rsidR="007905EF" w:rsidRPr="007905EF" w:rsidRDefault="002D6B04" w:rsidP="00083601">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r>
        <w:rPr>
          <w:rFonts w:asciiTheme="majorHAnsi" w:eastAsia="Times New Roman" w:hAnsiTheme="majorHAnsi" w:cstheme="majorHAnsi"/>
          <w:bCs/>
          <w:lang w:eastAsia="en-GB"/>
        </w:rPr>
        <w:t>So, i</w:t>
      </w:r>
      <w:r w:rsidR="007905EF" w:rsidRPr="007905EF">
        <w:rPr>
          <w:rFonts w:asciiTheme="majorHAnsi" w:eastAsia="Times New Roman" w:hAnsiTheme="majorHAnsi" w:cstheme="majorHAnsi"/>
          <w:bCs/>
          <w:lang w:eastAsia="en-GB"/>
        </w:rPr>
        <w:t xml:space="preserve">f the sub collection reference number </w:t>
      </w:r>
      <w:proofErr w:type="gramStart"/>
      <w:r w:rsidR="007905EF" w:rsidRPr="007905EF">
        <w:rPr>
          <w:rFonts w:asciiTheme="majorHAnsi" w:eastAsia="Times New Roman" w:hAnsiTheme="majorHAnsi" w:cstheme="majorHAnsi"/>
          <w:bCs/>
          <w:lang w:eastAsia="en-GB"/>
        </w:rPr>
        <w:t>is:</w:t>
      </w:r>
      <w:proofErr w:type="gramEnd"/>
      <w:r w:rsidR="007905EF" w:rsidRPr="007905EF">
        <w:rPr>
          <w:rFonts w:asciiTheme="majorHAnsi" w:eastAsia="Times New Roman" w:hAnsiTheme="majorHAnsi" w:cstheme="majorHAnsi"/>
          <w:bCs/>
          <w:lang w:eastAsia="en-GB"/>
        </w:rPr>
        <w:t xml:space="preserve"> ABC_</w:t>
      </w:r>
      <w:r w:rsidR="001B6E6A">
        <w:rPr>
          <w:rFonts w:asciiTheme="majorHAnsi" w:eastAsia="Times New Roman" w:hAnsiTheme="majorHAnsi" w:cstheme="majorHAnsi"/>
          <w:bCs/>
          <w:lang w:eastAsia="en-GB"/>
        </w:rPr>
        <w:t>FS_</w:t>
      </w:r>
      <w:r w:rsidR="007905EF" w:rsidRPr="007905EF">
        <w:rPr>
          <w:rFonts w:asciiTheme="majorHAnsi" w:eastAsia="Times New Roman" w:hAnsiTheme="majorHAnsi" w:cstheme="majorHAnsi"/>
          <w:bCs/>
          <w:lang w:eastAsia="en-GB"/>
        </w:rPr>
        <w:t>22_030</w:t>
      </w:r>
    </w:p>
    <w:p w14:paraId="748ED0B0" w14:textId="77777777" w:rsidR="008E3C9D" w:rsidRDefault="008E3C9D" w:rsidP="00C42821">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p>
    <w:p w14:paraId="60EA2568" w14:textId="11F6E1F1" w:rsidR="007905EF" w:rsidRPr="00C42821" w:rsidRDefault="007905EF" w:rsidP="00C42821">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r w:rsidRPr="007905EF">
        <w:rPr>
          <w:rFonts w:asciiTheme="majorHAnsi" w:eastAsia="Times New Roman" w:hAnsiTheme="majorHAnsi" w:cstheme="majorHAnsi"/>
          <w:bCs/>
          <w:lang w:eastAsia="en-GB"/>
        </w:rPr>
        <w:t xml:space="preserve">The first </w:t>
      </w:r>
      <w:r w:rsidRPr="00C42821">
        <w:rPr>
          <w:rFonts w:asciiTheme="majorHAnsi" w:eastAsia="Times New Roman" w:hAnsiTheme="majorHAnsi" w:cstheme="majorHAnsi"/>
          <w:bCs/>
          <w:highlight w:val="yellow"/>
          <w:lang w:eastAsia="en-GB"/>
        </w:rPr>
        <w:t>donor</w:t>
      </w:r>
      <w:r w:rsidRPr="007905EF">
        <w:rPr>
          <w:rFonts w:asciiTheme="majorHAnsi" w:eastAsia="Times New Roman" w:hAnsiTheme="majorHAnsi" w:cstheme="majorHAnsi"/>
          <w:bCs/>
          <w:lang w:eastAsia="en-GB"/>
        </w:rPr>
        <w:t xml:space="preserve"> consented </w:t>
      </w:r>
      <w:r w:rsidR="00892BAA">
        <w:rPr>
          <w:rFonts w:asciiTheme="majorHAnsi" w:eastAsia="Times New Roman" w:hAnsiTheme="majorHAnsi" w:cstheme="majorHAnsi"/>
          <w:bCs/>
          <w:lang w:eastAsia="en-GB"/>
        </w:rPr>
        <w:t>will</w:t>
      </w:r>
      <w:r w:rsidRPr="007905EF">
        <w:rPr>
          <w:rFonts w:asciiTheme="majorHAnsi" w:eastAsia="Times New Roman" w:hAnsiTheme="majorHAnsi" w:cstheme="majorHAnsi"/>
          <w:bCs/>
          <w:lang w:eastAsia="en-GB"/>
        </w:rPr>
        <w:t xml:space="preserve"> be: </w:t>
      </w:r>
      <w:r w:rsidRPr="00C42821">
        <w:rPr>
          <w:rFonts w:asciiTheme="majorHAnsi" w:eastAsia="Times New Roman" w:hAnsiTheme="majorHAnsi" w:cstheme="majorHAnsi"/>
          <w:bCs/>
          <w:highlight w:val="yellow"/>
          <w:lang w:eastAsia="en-GB"/>
        </w:rPr>
        <w:t>001</w:t>
      </w:r>
      <w:r w:rsidRPr="00C42821">
        <w:rPr>
          <w:rFonts w:asciiTheme="majorHAnsi" w:eastAsia="Times New Roman" w:hAnsiTheme="majorHAnsi" w:cstheme="majorHAnsi"/>
          <w:bCs/>
          <w:lang w:eastAsia="en-GB"/>
        </w:rPr>
        <w:t>_ABC_</w:t>
      </w:r>
      <w:r w:rsidR="001B6E6A">
        <w:rPr>
          <w:rFonts w:asciiTheme="majorHAnsi" w:eastAsia="Times New Roman" w:hAnsiTheme="majorHAnsi" w:cstheme="majorHAnsi"/>
          <w:bCs/>
          <w:lang w:eastAsia="en-GB"/>
        </w:rPr>
        <w:t>FS_</w:t>
      </w:r>
      <w:r w:rsidRPr="00C42821">
        <w:rPr>
          <w:rFonts w:asciiTheme="majorHAnsi" w:eastAsia="Times New Roman" w:hAnsiTheme="majorHAnsi" w:cstheme="majorHAnsi"/>
          <w:bCs/>
          <w:lang w:eastAsia="en-GB"/>
        </w:rPr>
        <w:t>22_030</w:t>
      </w:r>
    </w:p>
    <w:p w14:paraId="11A9F1B5" w14:textId="77777777" w:rsidR="007905EF" w:rsidRPr="007905EF" w:rsidRDefault="007905EF" w:rsidP="00083601">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p>
    <w:p w14:paraId="3FAA67F3" w14:textId="5C967A70" w:rsidR="007905EF" w:rsidRPr="007905EF" w:rsidRDefault="007905EF" w:rsidP="00083601">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r w:rsidRPr="007905EF">
        <w:rPr>
          <w:rFonts w:asciiTheme="majorHAnsi" w:eastAsia="Times New Roman" w:hAnsiTheme="majorHAnsi" w:cstheme="majorHAnsi"/>
          <w:bCs/>
          <w:lang w:eastAsia="en-GB"/>
        </w:rPr>
        <w:t xml:space="preserve">The </w:t>
      </w:r>
      <w:r w:rsidRPr="00C42821">
        <w:rPr>
          <w:rFonts w:asciiTheme="majorHAnsi" w:eastAsia="Times New Roman" w:hAnsiTheme="majorHAnsi" w:cstheme="majorHAnsi"/>
          <w:bCs/>
          <w:highlight w:val="green"/>
          <w:lang w:eastAsia="en-GB"/>
        </w:rPr>
        <w:t>samples</w:t>
      </w:r>
      <w:r w:rsidRPr="007905EF">
        <w:rPr>
          <w:rFonts w:asciiTheme="majorHAnsi" w:eastAsia="Times New Roman" w:hAnsiTheme="majorHAnsi" w:cstheme="majorHAnsi"/>
          <w:bCs/>
          <w:lang w:eastAsia="en-GB"/>
        </w:rPr>
        <w:t xml:space="preserve"> from the donor </w:t>
      </w:r>
      <w:r w:rsidR="0068080D">
        <w:rPr>
          <w:rFonts w:asciiTheme="majorHAnsi" w:eastAsia="Times New Roman" w:hAnsiTheme="majorHAnsi" w:cstheme="majorHAnsi"/>
          <w:bCs/>
          <w:lang w:eastAsia="en-GB"/>
        </w:rPr>
        <w:t>will</w:t>
      </w:r>
      <w:r w:rsidRPr="007905EF">
        <w:rPr>
          <w:rFonts w:asciiTheme="majorHAnsi" w:eastAsia="Times New Roman" w:hAnsiTheme="majorHAnsi" w:cstheme="majorHAnsi"/>
          <w:bCs/>
          <w:lang w:eastAsia="en-GB"/>
        </w:rPr>
        <w:t xml:space="preserve"> be:</w:t>
      </w:r>
    </w:p>
    <w:p w14:paraId="07629BCA" w14:textId="77777777" w:rsidR="007905EF" w:rsidRPr="007905EF" w:rsidRDefault="007905EF" w:rsidP="0C30042C">
      <w:pPr>
        <w:pStyle w:val="ListParagraph"/>
        <w:shd w:val="clear" w:color="auto" w:fill="FFFFFF" w:themeFill="background1"/>
        <w:spacing w:before="100" w:beforeAutospacing="1" w:after="100" w:afterAutospacing="1"/>
        <w:ind w:left="142" w:right="112"/>
        <w:rPr>
          <w:rFonts w:asciiTheme="majorHAnsi" w:eastAsia="Times New Roman" w:hAnsiTheme="majorHAnsi" w:cstheme="majorHAnsi"/>
          <w:bCs/>
          <w:lang w:eastAsia="en-GB"/>
        </w:rPr>
      </w:pPr>
    </w:p>
    <w:p w14:paraId="6CFF44EF" w14:textId="76A3C2F3" w:rsidR="007905EF" w:rsidRPr="007905EF" w:rsidRDefault="007905EF" w:rsidP="00083601">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r w:rsidRPr="007905EF">
        <w:rPr>
          <w:rFonts w:asciiTheme="majorHAnsi" w:eastAsia="Times New Roman" w:hAnsiTheme="majorHAnsi" w:cstheme="majorHAnsi"/>
          <w:bCs/>
          <w:lang w:eastAsia="en-GB"/>
        </w:rPr>
        <w:t xml:space="preserve">            </w:t>
      </w:r>
      <w:r w:rsidR="00DF3C7B" w:rsidRPr="00445EA7">
        <w:rPr>
          <w:rFonts w:asciiTheme="majorHAnsi" w:eastAsia="Times New Roman" w:hAnsiTheme="majorHAnsi" w:cstheme="majorHAnsi"/>
          <w:bCs/>
          <w:highlight w:val="green"/>
          <w:lang w:eastAsia="en-GB"/>
        </w:rPr>
        <w:t>A</w:t>
      </w:r>
      <w:r w:rsidR="00DF3C7B">
        <w:rPr>
          <w:rFonts w:asciiTheme="majorHAnsi" w:eastAsia="Times New Roman" w:hAnsiTheme="majorHAnsi" w:cstheme="majorHAnsi"/>
          <w:bCs/>
          <w:lang w:eastAsia="en-GB"/>
        </w:rPr>
        <w:t>_</w:t>
      </w:r>
      <w:r w:rsidRPr="007905EF">
        <w:rPr>
          <w:rFonts w:asciiTheme="majorHAnsi" w:eastAsia="Times New Roman" w:hAnsiTheme="majorHAnsi" w:cstheme="majorHAnsi"/>
          <w:bCs/>
          <w:lang w:eastAsia="en-GB"/>
        </w:rPr>
        <w:t>001_</w:t>
      </w:r>
      <w:r w:rsidR="001B6E6A" w:rsidRPr="001B6E6A">
        <w:rPr>
          <w:rFonts w:asciiTheme="majorHAnsi" w:eastAsia="Times New Roman" w:hAnsiTheme="majorHAnsi" w:cstheme="majorHAnsi"/>
          <w:bCs/>
          <w:lang w:eastAsia="en-GB"/>
        </w:rPr>
        <w:t xml:space="preserve"> </w:t>
      </w:r>
      <w:r w:rsidR="001B6E6A" w:rsidRPr="00C42821">
        <w:rPr>
          <w:rFonts w:asciiTheme="majorHAnsi" w:eastAsia="Times New Roman" w:hAnsiTheme="majorHAnsi" w:cstheme="majorHAnsi"/>
          <w:bCs/>
          <w:lang w:eastAsia="en-GB"/>
        </w:rPr>
        <w:t>ABC_</w:t>
      </w:r>
      <w:r w:rsidR="001B6E6A">
        <w:rPr>
          <w:rFonts w:asciiTheme="majorHAnsi" w:eastAsia="Times New Roman" w:hAnsiTheme="majorHAnsi" w:cstheme="majorHAnsi"/>
          <w:bCs/>
          <w:lang w:eastAsia="en-GB"/>
        </w:rPr>
        <w:t>FS_</w:t>
      </w:r>
      <w:r w:rsidR="001B6E6A" w:rsidRPr="00C42821">
        <w:rPr>
          <w:rFonts w:asciiTheme="majorHAnsi" w:eastAsia="Times New Roman" w:hAnsiTheme="majorHAnsi" w:cstheme="majorHAnsi"/>
          <w:bCs/>
          <w:lang w:eastAsia="en-GB"/>
        </w:rPr>
        <w:t>22_030</w:t>
      </w:r>
      <w:r w:rsidR="001B6E6A" w:rsidRPr="007905EF">
        <w:rPr>
          <w:rFonts w:asciiTheme="majorHAnsi" w:eastAsia="Times New Roman" w:hAnsiTheme="majorHAnsi" w:cstheme="majorHAnsi"/>
          <w:bCs/>
          <w:lang w:eastAsia="en-GB"/>
        </w:rPr>
        <w:t xml:space="preserve"> </w:t>
      </w:r>
      <w:r w:rsidRPr="007905EF">
        <w:rPr>
          <w:rFonts w:asciiTheme="majorHAnsi" w:eastAsia="Times New Roman" w:hAnsiTheme="majorHAnsi" w:cstheme="majorHAnsi"/>
          <w:bCs/>
          <w:lang w:eastAsia="en-GB"/>
        </w:rPr>
        <w:t>(for example this could be a whole blood sample)</w:t>
      </w:r>
    </w:p>
    <w:p w14:paraId="180479A4" w14:textId="781E5396" w:rsidR="007905EF" w:rsidRPr="007905EF" w:rsidRDefault="007905EF" w:rsidP="00083601">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r w:rsidRPr="007905EF">
        <w:rPr>
          <w:rFonts w:asciiTheme="majorHAnsi" w:eastAsia="Times New Roman" w:hAnsiTheme="majorHAnsi" w:cstheme="majorHAnsi"/>
          <w:bCs/>
          <w:lang w:eastAsia="en-GB"/>
        </w:rPr>
        <w:t xml:space="preserve">            </w:t>
      </w:r>
      <w:r w:rsidR="00DF3C7B" w:rsidRPr="00445EA7">
        <w:rPr>
          <w:rFonts w:asciiTheme="majorHAnsi" w:eastAsia="Times New Roman" w:hAnsiTheme="majorHAnsi" w:cstheme="majorHAnsi"/>
          <w:bCs/>
          <w:highlight w:val="green"/>
          <w:lang w:eastAsia="en-GB"/>
        </w:rPr>
        <w:t>B</w:t>
      </w:r>
      <w:r w:rsidR="00DF3C7B">
        <w:rPr>
          <w:rFonts w:asciiTheme="majorHAnsi" w:eastAsia="Times New Roman" w:hAnsiTheme="majorHAnsi" w:cstheme="majorHAnsi"/>
          <w:bCs/>
          <w:lang w:eastAsia="en-GB"/>
        </w:rPr>
        <w:t>_</w:t>
      </w:r>
      <w:r w:rsidRPr="007905EF">
        <w:rPr>
          <w:rFonts w:asciiTheme="majorHAnsi" w:eastAsia="Times New Roman" w:hAnsiTheme="majorHAnsi" w:cstheme="majorHAnsi"/>
          <w:bCs/>
          <w:lang w:eastAsia="en-GB"/>
        </w:rPr>
        <w:t>001</w:t>
      </w:r>
      <w:r w:rsidR="00DF3C7B">
        <w:rPr>
          <w:rFonts w:asciiTheme="majorHAnsi" w:eastAsia="Times New Roman" w:hAnsiTheme="majorHAnsi" w:cstheme="majorHAnsi"/>
          <w:bCs/>
          <w:lang w:eastAsia="en-GB"/>
        </w:rPr>
        <w:t>_</w:t>
      </w:r>
      <w:r w:rsidR="001B6E6A" w:rsidRPr="001B6E6A">
        <w:rPr>
          <w:rFonts w:asciiTheme="majorHAnsi" w:eastAsia="Times New Roman" w:hAnsiTheme="majorHAnsi" w:cstheme="majorHAnsi"/>
          <w:bCs/>
          <w:lang w:eastAsia="en-GB"/>
        </w:rPr>
        <w:t xml:space="preserve"> </w:t>
      </w:r>
      <w:r w:rsidR="001B6E6A" w:rsidRPr="00C42821">
        <w:rPr>
          <w:rFonts w:asciiTheme="majorHAnsi" w:eastAsia="Times New Roman" w:hAnsiTheme="majorHAnsi" w:cstheme="majorHAnsi"/>
          <w:bCs/>
          <w:lang w:eastAsia="en-GB"/>
        </w:rPr>
        <w:t>ABC_</w:t>
      </w:r>
      <w:r w:rsidR="001B6E6A">
        <w:rPr>
          <w:rFonts w:asciiTheme="majorHAnsi" w:eastAsia="Times New Roman" w:hAnsiTheme="majorHAnsi" w:cstheme="majorHAnsi"/>
          <w:bCs/>
          <w:lang w:eastAsia="en-GB"/>
        </w:rPr>
        <w:t>FS_</w:t>
      </w:r>
      <w:r w:rsidR="001B6E6A" w:rsidRPr="00C42821">
        <w:rPr>
          <w:rFonts w:asciiTheme="majorHAnsi" w:eastAsia="Times New Roman" w:hAnsiTheme="majorHAnsi" w:cstheme="majorHAnsi"/>
          <w:bCs/>
          <w:lang w:eastAsia="en-GB"/>
        </w:rPr>
        <w:t>22_030</w:t>
      </w:r>
      <w:r w:rsidRPr="007905EF">
        <w:rPr>
          <w:rFonts w:asciiTheme="majorHAnsi" w:eastAsia="Times New Roman" w:hAnsiTheme="majorHAnsi" w:cstheme="majorHAnsi"/>
          <w:bCs/>
          <w:lang w:eastAsia="en-GB"/>
        </w:rPr>
        <w:t xml:space="preserve"> (for example this could be a tissue sample)</w:t>
      </w:r>
    </w:p>
    <w:p w14:paraId="7EBB42F2" w14:textId="77777777" w:rsidR="007905EF" w:rsidRPr="007905EF" w:rsidRDefault="007905EF" w:rsidP="00083601">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p>
    <w:p w14:paraId="71042ADB" w14:textId="7F170AAD" w:rsidR="007905EF" w:rsidRPr="007905EF" w:rsidRDefault="00504D47" w:rsidP="00083601">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r>
        <w:rPr>
          <w:rFonts w:asciiTheme="majorHAnsi" w:eastAsia="Times New Roman" w:hAnsiTheme="majorHAnsi" w:cstheme="majorHAnsi"/>
          <w:bCs/>
          <w:lang w:eastAsia="en-GB"/>
        </w:rPr>
        <w:t>Extracts</w:t>
      </w:r>
      <w:r w:rsidR="007905EF" w:rsidRPr="007905EF">
        <w:rPr>
          <w:rFonts w:asciiTheme="majorHAnsi" w:eastAsia="Times New Roman" w:hAnsiTheme="majorHAnsi" w:cstheme="majorHAnsi"/>
          <w:bCs/>
          <w:lang w:eastAsia="en-GB"/>
        </w:rPr>
        <w:t xml:space="preserve"> </w:t>
      </w:r>
      <w:r w:rsidR="00164366">
        <w:rPr>
          <w:rFonts w:asciiTheme="majorHAnsi" w:eastAsia="Times New Roman" w:hAnsiTheme="majorHAnsi" w:cstheme="majorHAnsi"/>
          <w:bCs/>
          <w:lang w:eastAsia="en-GB"/>
        </w:rPr>
        <w:t>(</w:t>
      </w:r>
      <w:r>
        <w:rPr>
          <w:rFonts w:asciiTheme="majorHAnsi" w:eastAsia="Times New Roman" w:hAnsiTheme="majorHAnsi" w:cstheme="majorHAnsi"/>
          <w:bCs/>
          <w:lang w:eastAsia="en-GB"/>
        </w:rPr>
        <w:t xml:space="preserve">e.g., aliquots </w:t>
      </w:r>
      <w:r w:rsidR="00164366">
        <w:rPr>
          <w:rFonts w:asciiTheme="majorHAnsi" w:eastAsia="Times New Roman" w:hAnsiTheme="majorHAnsi" w:cstheme="majorHAnsi"/>
          <w:bCs/>
          <w:lang w:eastAsia="en-GB"/>
        </w:rPr>
        <w:t>o</w:t>
      </w:r>
      <w:r>
        <w:rPr>
          <w:rFonts w:asciiTheme="majorHAnsi" w:eastAsia="Times New Roman" w:hAnsiTheme="majorHAnsi" w:cstheme="majorHAnsi"/>
          <w:bCs/>
          <w:lang w:eastAsia="en-GB"/>
        </w:rPr>
        <w:t>r</w:t>
      </w:r>
      <w:r w:rsidR="00164366">
        <w:rPr>
          <w:rFonts w:asciiTheme="majorHAnsi" w:eastAsia="Times New Roman" w:hAnsiTheme="majorHAnsi" w:cstheme="majorHAnsi"/>
          <w:bCs/>
          <w:lang w:eastAsia="en-GB"/>
        </w:rPr>
        <w:t xml:space="preserve"> sub sections) </w:t>
      </w:r>
      <w:r w:rsidR="007905EF" w:rsidRPr="007905EF">
        <w:rPr>
          <w:rFonts w:asciiTheme="majorHAnsi" w:eastAsia="Times New Roman" w:hAnsiTheme="majorHAnsi" w:cstheme="majorHAnsi"/>
          <w:bCs/>
          <w:lang w:eastAsia="en-GB"/>
        </w:rPr>
        <w:t xml:space="preserve">from the above </w:t>
      </w:r>
      <w:proofErr w:type="gramStart"/>
      <w:r w:rsidR="007905EF" w:rsidRPr="007905EF">
        <w:rPr>
          <w:rFonts w:asciiTheme="majorHAnsi" w:eastAsia="Times New Roman" w:hAnsiTheme="majorHAnsi" w:cstheme="majorHAnsi"/>
          <w:bCs/>
          <w:lang w:eastAsia="en-GB"/>
        </w:rPr>
        <w:t>parents</w:t>
      </w:r>
      <w:proofErr w:type="gramEnd"/>
      <w:r w:rsidR="007905EF" w:rsidRPr="007905EF">
        <w:rPr>
          <w:rFonts w:asciiTheme="majorHAnsi" w:eastAsia="Times New Roman" w:hAnsiTheme="majorHAnsi" w:cstheme="majorHAnsi"/>
          <w:bCs/>
          <w:lang w:eastAsia="en-GB"/>
        </w:rPr>
        <w:t xml:space="preserve"> samples </w:t>
      </w:r>
      <w:r w:rsidR="00164366">
        <w:rPr>
          <w:rFonts w:asciiTheme="majorHAnsi" w:eastAsia="Times New Roman" w:hAnsiTheme="majorHAnsi" w:cstheme="majorHAnsi"/>
          <w:bCs/>
          <w:lang w:eastAsia="en-GB"/>
        </w:rPr>
        <w:t>will</w:t>
      </w:r>
      <w:r w:rsidR="007905EF" w:rsidRPr="007905EF">
        <w:rPr>
          <w:rFonts w:asciiTheme="majorHAnsi" w:eastAsia="Times New Roman" w:hAnsiTheme="majorHAnsi" w:cstheme="majorHAnsi"/>
          <w:bCs/>
          <w:lang w:eastAsia="en-GB"/>
        </w:rPr>
        <w:t xml:space="preserve"> be:</w:t>
      </w:r>
    </w:p>
    <w:p w14:paraId="47ED17F5" w14:textId="3EDC8467" w:rsidR="007905EF" w:rsidRPr="007905EF" w:rsidRDefault="007905EF" w:rsidP="00083601">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r w:rsidRPr="007905EF">
        <w:rPr>
          <w:rFonts w:asciiTheme="majorHAnsi" w:eastAsia="Times New Roman" w:hAnsiTheme="majorHAnsi" w:cstheme="majorHAnsi"/>
          <w:bCs/>
          <w:lang w:eastAsia="en-GB"/>
        </w:rPr>
        <w:t xml:space="preserve">            A</w:t>
      </w:r>
      <w:r w:rsidRPr="00C42821">
        <w:rPr>
          <w:rFonts w:asciiTheme="majorHAnsi" w:eastAsia="Times New Roman" w:hAnsiTheme="majorHAnsi" w:cstheme="majorHAnsi"/>
          <w:bCs/>
          <w:highlight w:val="cyan"/>
          <w:lang w:eastAsia="en-GB"/>
        </w:rPr>
        <w:t>1</w:t>
      </w:r>
      <w:r w:rsidRPr="007905EF">
        <w:rPr>
          <w:rFonts w:asciiTheme="majorHAnsi" w:eastAsia="Times New Roman" w:hAnsiTheme="majorHAnsi" w:cstheme="majorHAnsi"/>
          <w:bCs/>
          <w:lang w:eastAsia="en-GB"/>
        </w:rPr>
        <w:t>_</w:t>
      </w:r>
      <w:r w:rsidR="00A7475F">
        <w:rPr>
          <w:rFonts w:asciiTheme="majorHAnsi" w:eastAsia="Times New Roman" w:hAnsiTheme="majorHAnsi" w:cstheme="majorHAnsi"/>
          <w:bCs/>
          <w:lang w:eastAsia="en-GB"/>
        </w:rPr>
        <w:t>001_</w:t>
      </w:r>
      <w:r w:rsidR="001B6E6A" w:rsidRPr="001B6E6A">
        <w:rPr>
          <w:rFonts w:asciiTheme="majorHAnsi" w:eastAsia="Times New Roman" w:hAnsiTheme="majorHAnsi" w:cstheme="majorHAnsi"/>
          <w:bCs/>
          <w:lang w:eastAsia="en-GB"/>
        </w:rPr>
        <w:t xml:space="preserve"> </w:t>
      </w:r>
      <w:r w:rsidR="001B6E6A" w:rsidRPr="00C42821">
        <w:rPr>
          <w:rFonts w:asciiTheme="majorHAnsi" w:eastAsia="Times New Roman" w:hAnsiTheme="majorHAnsi" w:cstheme="majorHAnsi"/>
          <w:bCs/>
          <w:lang w:eastAsia="en-GB"/>
        </w:rPr>
        <w:t>ABC_</w:t>
      </w:r>
      <w:r w:rsidR="001B6E6A">
        <w:rPr>
          <w:rFonts w:asciiTheme="majorHAnsi" w:eastAsia="Times New Roman" w:hAnsiTheme="majorHAnsi" w:cstheme="majorHAnsi"/>
          <w:bCs/>
          <w:lang w:eastAsia="en-GB"/>
        </w:rPr>
        <w:t>FS_</w:t>
      </w:r>
      <w:r w:rsidR="001B6E6A" w:rsidRPr="00C42821">
        <w:rPr>
          <w:rFonts w:asciiTheme="majorHAnsi" w:eastAsia="Times New Roman" w:hAnsiTheme="majorHAnsi" w:cstheme="majorHAnsi"/>
          <w:bCs/>
          <w:lang w:eastAsia="en-GB"/>
        </w:rPr>
        <w:t>22_030</w:t>
      </w:r>
      <w:r w:rsidRPr="007905EF">
        <w:rPr>
          <w:rFonts w:asciiTheme="majorHAnsi" w:eastAsia="Times New Roman" w:hAnsiTheme="majorHAnsi" w:cstheme="majorHAnsi"/>
          <w:bCs/>
          <w:lang w:eastAsia="en-GB"/>
        </w:rPr>
        <w:t xml:space="preserve"> (for example this could be the 1st plasma aliquot)</w:t>
      </w:r>
    </w:p>
    <w:p w14:paraId="6DBCEA58" w14:textId="4826A320" w:rsidR="007905EF" w:rsidRPr="007905EF" w:rsidRDefault="007905EF" w:rsidP="00083601">
      <w:pPr>
        <w:pStyle w:val="ListParagraph"/>
        <w:shd w:val="clear" w:color="auto" w:fill="FFFFFF"/>
        <w:spacing w:before="100" w:beforeAutospacing="1" w:after="100" w:afterAutospacing="1"/>
        <w:ind w:left="142" w:right="112"/>
        <w:rPr>
          <w:rFonts w:asciiTheme="majorHAnsi" w:eastAsia="Times New Roman" w:hAnsiTheme="majorHAnsi" w:cstheme="majorHAnsi"/>
          <w:bCs/>
          <w:lang w:eastAsia="en-GB"/>
        </w:rPr>
      </w:pPr>
      <w:r w:rsidRPr="007905EF">
        <w:rPr>
          <w:rFonts w:asciiTheme="majorHAnsi" w:eastAsia="Times New Roman" w:hAnsiTheme="majorHAnsi" w:cstheme="majorHAnsi"/>
          <w:bCs/>
          <w:lang w:eastAsia="en-GB"/>
        </w:rPr>
        <w:t xml:space="preserve">            A</w:t>
      </w:r>
      <w:r w:rsidRPr="00C42821">
        <w:rPr>
          <w:rFonts w:asciiTheme="majorHAnsi" w:eastAsia="Times New Roman" w:hAnsiTheme="majorHAnsi" w:cstheme="majorHAnsi"/>
          <w:bCs/>
          <w:highlight w:val="cyan"/>
          <w:lang w:eastAsia="en-GB"/>
        </w:rPr>
        <w:t>2</w:t>
      </w:r>
      <w:r w:rsidRPr="007905EF">
        <w:rPr>
          <w:rFonts w:asciiTheme="majorHAnsi" w:eastAsia="Times New Roman" w:hAnsiTheme="majorHAnsi" w:cstheme="majorHAnsi"/>
          <w:bCs/>
          <w:lang w:eastAsia="en-GB"/>
        </w:rPr>
        <w:t>_</w:t>
      </w:r>
      <w:r w:rsidR="00A7475F">
        <w:rPr>
          <w:rFonts w:asciiTheme="majorHAnsi" w:eastAsia="Times New Roman" w:hAnsiTheme="majorHAnsi" w:cstheme="majorHAnsi"/>
          <w:bCs/>
          <w:lang w:eastAsia="en-GB"/>
        </w:rPr>
        <w:t>001_</w:t>
      </w:r>
      <w:r w:rsidR="001B6E6A" w:rsidRPr="001B6E6A">
        <w:rPr>
          <w:rFonts w:asciiTheme="majorHAnsi" w:eastAsia="Times New Roman" w:hAnsiTheme="majorHAnsi" w:cstheme="majorHAnsi"/>
          <w:bCs/>
          <w:lang w:eastAsia="en-GB"/>
        </w:rPr>
        <w:t xml:space="preserve"> </w:t>
      </w:r>
      <w:r w:rsidR="001B6E6A" w:rsidRPr="00C42821">
        <w:rPr>
          <w:rFonts w:asciiTheme="majorHAnsi" w:eastAsia="Times New Roman" w:hAnsiTheme="majorHAnsi" w:cstheme="majorHAnsi"/>
          <w:bCs/>
          <w:lang w:eastAsia="en-GB"/>
        </w:rPr>
        <w:t>ABC_</w:t>
      </w:r>
      <w:r w:rsidR="001B6E6A">
        <w:rPr>
          <w:rFonts w:asciiTheme="majorHAnsi" w:eastAsia="Times New Roman" w:hAnsiTheme="majorHAnsi" w:cstheme="majorHAnsi"/>
          <w:bCs/>
          <w:lang w:eastAsia="en-GB"/>
        </w:rPr>
        <w:t>FS_</w:t>
      </w:r>
      <w:r w:rsidR="001B6E6A" w:rsidRPr="00C42821">
        <w:rPr>
          <w:rFonts w:asciiTheme="majorHAnsi" w:eastAsia="Times New Roman" w:hAnsiTheme="majorHAnsi" w:cstheme="majorHAnsi"/>
          <w:bCs/>
          <w:lang w:eastAsia="en-GB"/>
        </w:rPr>
        <w:t>22_030</w:t>
      </w:r>
      <w:r w:rsidR="001B6E6A" w:rsidRPr="007905EF">
        <w:rPr>
          <w:rFonts w:asciiTheme="majorHAnsi" w:eastAsia="Times New Roman" w:hAnsiTheme="majorHAnsi" w:cstheme="majorHAnsi"/>
          <w:bCs/>
          <w:lang w:eastAsia="en-GB"/>
        </w:rPr>
        <w:t xml:space="preserve"> </w:t>
      </w:r>
      <w:r w:rsidRPr="007905EF">
        <w:rPr>
          <w:rFonts w:asciiTheme="majorHAnsi" w:eastAsia="Times New Roman" w:hAnsiTheme="majorHAnsi" w:cstheme="majorHAnsi"/>
          <w:bCs/>
          <w:lang w:eastAsia="en-GB"/>
        </w:rPr>
        <w:t>(for example this could be the 2nd plasma aliquot)</w:t>
      </w:r>
    </w:p>
    <w:p w14:paraId="037711BB" w14:textId="48D767F8" w:rsidR="007905EF" w:rsidRPr="007905EF" w:rsidRDefault="007905EF" w:rsidP="00A7475F">
      <w:pPr>
        <w:pStyle w:val="ListParagraph"/>
        <w:shd w:val="clear" w:color="auto" w:fill="FFFFFF"/>
        <w:spacing w:before="100" w:beforeAutospacing="1" w:after="100" w:afterAutospacing="1"/>
        <w:ind w:left="709" w:right="112" w:hanging="567"/>
        <w:rPr>
          <w:rFonts w:asciiTheme="majorHAnsi" w:eastAsia="Times New Roman" w:hAnsiTheme="majorHAnsi" w:cstheme="majorHAnsi"/>
          <w:bCs/>
          <w:lang w:eastAsia="en-GB"/>
        </w:rPr>
      </w:pPr>
      <w:r w:rsidRPr="007905EF">
        <w:rPr>
          <w:rFonts w:asciiTheme="majorHAnsi" w:eastAsia="Times New Roman" w:hAnsiTheme="majorHAnsi" w:cstheme="majorHAnsi"/>
          <w:bCs/>
          <w:lang w:eastAsia="en-GB"/>
        </w:rPr>
        <w:t xml:space="preserve">            B</w:t>
      </w:r>
      <w:r w:rsidRPr="00C42821">
        <w:rPr>
          <w:rFonts w:asciiTheme="majorHAnsi" w:eastAsia="Times New Roman" w:hAnsiTheme="majorHAnsi" w:cstheme="majorHAnsi"/>
          <w:bCs/>
          <w:highlight w:val="cyan"/>
          <w:lang w:eastAsia="en-GB"/>
        </w:rPr>
        <w:t>1</w:t>
      </w:r>
      <w:r w:rsidRPr="007905EF">
        <w:rPr>
          <w:rFonts w:asciiTheme="majorHAnsi" w:eastAsia="Times New Roman" w:hAnsiTheme="majorHAnsi" w:cstheme="majorHAnsi"/>
          <w:bCs/>
          <w:lang w:eastAsia="en-GB"/>
        </w:rPr>
        <w:t>_</w:t>
      </w:r>
      <w:r w:rsidR="00A7475F">
        <w:rPr>
          <w:rFonts w:asciiTheme="majorHAnsi" w:eastAsia="Times New Roman" w:hAnsiTheme="majorHAnsi" w:cstheme="majorHAnsi"/>
          <w:bCs/>
          <w:lang w:eastAsia="en-GB"/>
        </w:rPr>
        <w:t>001_</w:t>
      </w:r>
      <w:r w:rsidR="001B6E6A" w:rsidRPr="001B6E6A">
        <w:rPr>
          <w:rFonts w:asciiTheme="majorHAnsi" w:eastAsia="Times New Roman" w:hAnsiTheme="majorHAnsi" w:cstheme="majorHAnsi"/>
          <w:bCs/>
          <w:lang w:eastAsia="en-GB"/>
        </w:rPr>
        <w:t xml:space="preserve"> </w:t>
      </w:r>
      <w:r w:rsidR="001B6E6A" w:rsidRPr="00C42821">
        <w:rPr>
          <w:rFonts w:asciiTheme="majorHAnsi" w:eastAsia="Times New Roman" w:hAnsiTheme="majorHAnsi" w:cstheme="majorHAnsi"/>
          <w:bCs/>
          <w:lang w:eastAsia="en-GB"/>
        </w:rPr>
        <w:t>ABC_</w:t>
      </w:r>
      <w:r w:rsidR="001B6E6A">
        <w:rPr>
          <w:rFonts w:asciiTheme="majorHAnsi" w:eastAsia="Times New Roman" w:hAnsiTheme="majorHAnsi" w:cstheme="majorHAnsi"/>
          <w:bCs/>
          <w:lang w:eastAsia="en-GB"/>
        </w:rPr>
        <w:t>FS_</w:t>
      </w:r>
      <w:r w:rsidR="001B6E6A" w:rsidRPr="00C42821">
        <w:rPr>
          <w:rFonts w:asciiTheme="majorHAnsi" w:eastAsia="Times New Roman" w:hAnsiTheme="majorHAnsi" w:cstheme="majorHAnsi"/>
          <w:bCs/>
          <w:lang w:eastAsia="en-GB"/>
        </w:rPr>
        <w:t>22_030</w:t>
      </w:r>
      <w:r w:rsidR="001B6E6A" w:rsidRPr="007905EF">
        <w:rPr>
          <w:rFonts w:asciiTheme="majorHAnsi" w:eastAsia="Times New Roman" w:hAnsiTheme="majorHAnsi" w:cstheme="majorHAnsi"/>
          <w:bCs/>
          <w:lang w:eastAsia="en-GB"/>
        </w:rPr>
        <w:t xml:space="preserve"> </w:t>
      </w:r>
      <w:r w:rsidRPr="007905EF">
        <w:rPr>
          <w:rFonts w:asciiTheme="majorHAnsi" w:eastAsia="Times New Roman" w:hAnsiTheme="majorHAnsi" w:cstheme="majorHAnsi"/>
          <w:bCs/>
          <w:lang w:eastAsia="en-GB"/>
        </w:rPr>
        <w:t>(for example this could be the 1st smaller entity of the parent tissue</w:t>
      </w:r>
      <w:r w:rsidR="00A7475F">
        <w:rPr>
          <w:rFonts w:asciiTheme="majorHAnsi" w:eastAsia="Times New Roman" w:hAnsiTheme="majorHAnsi" w:cstheme="majorHAnsi"/>
          <w:bCs/>
          <w:lang w:eastAsia="en-GB"/>
        </w:rPr>
        <w:t xml:space="preserve"> </w:t>
      </w:r>
      <w:r w:rsidRPr="007905EF">
        <w:rPr>
          <w:rFonts w:asciiTheme="majorHAnsi" w:eastAsia="Times New Roman" w:hAnsiTheme="majorHAnsi" w:cstheme="majorHAnsi"/>
          <w:bCs/>
          <w:lang w:eastAsia="en-GB"/>
        </w:rPr>
        <w:t>sample)</w:t>
      </w:r>
    </w:p>
    <w:p w14:paraId="780CBD2A" w14:textId="77777777" w:rsidR="000E0850" w:rsidRPr="000E0850" w:rsidRDefault="000E0850" w:rsidP="000E0850">
      <w:pPr>
        <w:pStyle w:val="ListParagraph"/>
        <w:shd w:val="clear" w:color="auto" w:fill="FFFFFF"/>
        <w:spacing w:before="100" w:beforeAutospacing="1" w:after="100" w:afterAutospacing="1"/>
        <w:ind w:right="112"/>
        <w:rPr>
          <w:rFonts w:asciiTheme="majorHAnsi" w:eastAsia="Times New Roman" w:hAnsiTheme="majorHAnsi" w:cstheme="majorHAnsi"/>
          <w:b/>
          <w:lang w:eastAsia="en-GB"/>
        </w:rPr>
      </w:pPr>
    </w:p>
    <w:p w14:paraId="0F6CF233" w14:textId="69FF5E80" w:rsidR="008E341E" w:rsidRPr="000E0850" w:rsidRDefault="008E341E" w:rsidP="000E0850">
      <w:pPr>
        <w:pStyle w:val="ListParagraph"/>
        <w:numPr>
          <w:ilvl w:val="0"/>
          <w:numId w:val="16"/>
        </w:numPr>
        <w:shd w:val="clear" w:color="auto" w:fill="FFFFFF"/>
        <w:spacing w:before="100" w:beforeAutospacing="1" w:after="100" w:afterAutospacing="1"/>
        <w:ind w:right="112" w:hanging="578"/>
        <w:rPr>
          <w:rFonts w:asciiTheme="majorHAnsi" w:eastAsia="Times New Roman" w:hAnsiTheme="majorHAnsi" w:cstheme="majorHAnsi"/>
          <w:b/>
          <w:lang w:eastAsia="en-GB"/>
        </w:rPr>
      </w:pPr>
      <w:r w:rsidRPr="000E0850">
        <w:rPr>
          <w:rFonts w:asciiTheme="majorHAnsi" w:eastAsia="Times New Roman" w:hAnsiTheme="majorHAnsi" w:cstheme="majorHAnsi"/>
          <w:b/>
          <w:lang w:eastAsia="en-GB"/>
        </w:rPr>
        <w:t>Reporting Serious Adverse Events</w:t>
      </w:r>
    </w:p>
    <w:p w14:paraId="4BA0E517" w14:textId="0625617B" w:rsidR="0085058B" w:rsidRPr="00080A0A" w:rsidRDefault="00D86D91" w:rsidP="0085058B">
      <w:pPr>
        <w:shd w:val="clear" w:color="auto" w:fill="FFFFFF" w:themeFill="background1"/>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 xml:space="preserve">There are </w:t>
      </w:r>
      <w:proofErr w:type="gramStart"/>
      <w:r w:rsidRPr="00D713FE">
        <w:rPr>
          <w:rFonts w:asciiTheme="majorHAnsi" w:eastAsia="Times New Roman" w:hAnsiTheme="majorHAnsi" w:cstheme="majorHAnsi"/>
          <w:lang w:eastAsia="en-GB"/>
        </w:rPr>
        <w:t>a number of</w:t>
      </w:r>
      <w:proofErr w:type="gramEnd"/>
      <w:r w:rsidRPr="00D713FE">
        <w:rPr>
          <w:rFonts w:asciiTheme="majorHAnsi" w:eastAsia="Times New Roman" w:hAnsiTheme="majorHAnsi" w:cstheme="majorHAnsi"/>
          <w:lang w:eastAsia="en-GB"/>
        </w:rPr>
        <w:t xml:space="preserve"> areas in sub-collection management in which adverse events may occur.</w:t>
      </w:r>
      <w:r w:rsidR="00411FE3">
        <w:rPr>
          <w:rFonts w:asciiTheme="majorHAnsi" w:eastAsia="Times New Roman" w:hAnsiTheme="majorHAnsi" w:cstheme="majorHAnsi"/>
          <w:lang w:eastAsia="en-GB"/>
        </w:rPr>
        <w:t xml:space="preserve"> </w:t>
      </w:r>
      <w:r w:rsidR="00154183" w:rsidRPr="00D713FE">
        <w:rPr>
          <w:rFonts w:asciiTheme="majorHAnsi" w:eastAsia="Times New Roman" w:hAnsiTheme="majorHAnsi" w:cstheme="majorHAnsi"/>
          <w:lang w:eastAsia="en-GB"/>
        </w:rPr>
        <w:t>These</w:t>
      </w:r>
      <w:r w:rsidRPr="00D713FE">
        <w:rPr>
          <w:rFonts w:asciiTheme="majorHAnsi" w:eastAsia="Times New Roman" w:hAnsiTheme="majorHAnsi" w:cstheme="majorHAnsi"/>
          <w:lang w:eastAsia="en-GB"/>
        </w:rPr>
        <w:t xml:space="preserve"> should be documented using the appropriate form (TB-DOC-SCM7).</w:t>
      </w:r>
      <w:r w:rsidR="00FA4E94">
        <w:rPr>
          <w:rFonts w:asciiTheme="majorHAnsi" w:eastAsia="Times New Roman" w:hAnsiTheme="majorHAnsi" w:cstheme="majorHAnsi"/>
          <w:lang w:eastAsia="en-GB"/>
        </w:rPr>
        <w:t xml:space="preserve"> </w:t>
      </w:r>
      <w:r w:rsidRPr="00D713FE">
        <w:rPr>
          <w:rFonts w:asciiTheme="majorHAnsi" w:eastAsia="Times New Roman" w:hAnsiTheme="majorHAnsi" w:cstheme="majorHAnsi"/>
          <w:lang w:eastAsia="en-GB"/>
        </w:rPr>
        <w:t>PIs wishing to report SAEs should send this form to the PD copied to the DI.</w:t>
      </w:r>
      <w:r w:rsidR="00FA4E94">
        <w:rPr>
          <w:rFonts w:asciiTheme="majorHAnsi" w:eastAsia="Times New Roman" w:hAnsiTheme="majorHAnsi" w:cstheme="majorHAnsi"/>
          <w:lang w:eastAsia="en-GB"/>
        </w:rPr>
        <w:t xml:space="preserve"> </w:t>
      </w:r>
      <w:r w:rsidRPr="00D713FE">
        <w:rPr>
          <w:rFonts w:asciiTheme="majorHAnsi" w:eastAsia="Times New Roman" w:hAnsiTheme="majorHAnsi" w:cstheme="majorHAnsi"/>
          <w:lang w:eastAsia="en-GB"/>
        </w:rPr>
        <w:t xml:space="preserve">The </w:t>
      </w:r>
      <w:r w:rsidR="00154183" w:rsidRPr="00D713FE">
        <w:rPr>
          <w:rFonts w:asciiTheme="majorHAnsi" w:eastAsia="Times New Roman" w:hAnsiTheme="majorHAnsi" w:cstheme="majorHAnsi"/>
          <w:lang w:eastAsia="en-GB"/>
        </w:rPr>
        <w:t>PD will</w:t>
      </w:r>
      <w:r w:rsidRPr="00D713FE">
        <w:rPr>
          <w:rFonts w:asciiTheme="majorHAnsi" w:eastAsia="Times New Roman" w:hAnsiTheme="majorHAnsi" w:cstheme="majorHAnsi"/>
          <w:lang w:eastAsia="en-GB"/>
        </w:rPr>
        <w:t xml:space="preserve"> discuss the incident with the PI and the SAEs </w:t>
      </w:r>
      <w:r w:rsidR="00F03C0E" w:rsidRPr="00D713FE">
        <w:rPr>
          <w:rFonts w:asciiTheme="majorHAnsi" w:eastAsia="Times New Roman" w:hAnsiTheme="majorHAnsi" w:cstheme="majorHAnsi"/>
          <w:lang w:eastAsia="en-GB"/>
        </w:rPr>
        <w:t xml:space="preserve">will be </w:t>
      </w:r>
      <w:r w:rsidRPr="00D713FE">
        <w:rPr>
          <w:rFonts w:asciiTheme="majorHAnsi" w:eastAsia="Times New Roman" w:hAnsiTheme="majorHAnsi" w:cstheme="majorHAnsi"/>
          <w:lang w:eastAsia="en-GB"/>
        </w:rPr>
        <w:t>discussed quarterly at the DI/PDs meeting, where the SAE may be deemed closed when appropriate action has been taken by the PI, or further action may be requested</w:t>
      </w:r>
      <w:r w:rsidR="00F03C0E" w:rsidRPr="00D713FE">
        <w:rPr>
          <w:rFonts w:asciiTheme="majorHAnsi" w:eastAsia="Times New Roman" w:hAnsiTheme="majorHAnsi" w:cstheme="majorHAnsi"/>
          <w:lang w:eastAsia="en-GB"/>
        </w:rPr>
        <w:t>.</w:t>
      </w:r>
      <w:r w:rsidR="00FA4E94">
        <w:rPr>
          <w:rFonts w:asciiTheme="majorHAnsi" w:eastAsia="Times New Roman" w:hAnsiTheme="majorHAnsi" w:cstheme="majorHAnsi"/>
          <w:lang w:eastAsia="en-GB"/>
        </w:rPr>
        <w:t xml:space="preserve"> </w:t>
      </w:r>
      <w:r w:rsidRPr="00D713FE">
        <w:rPr>
          <w:rFonts w:asciiTheme="majorHAnsi" w:eastAsia="Times New Roman" w:hAnsiTheme="majorHAnsi" w:cstheme="majorHAnsi"/>
          <w:lang w:eastAsia="en-GB"/>
        </w:rPr>
        <w:t xml:space="preserve">All SAEs will be recorded </w:t>
      </w:r>
      <w:r w:rsidR="00154183" w:rsidRPr="00D713FE">
        <w:rPr>
          <w:rFonts w:asciiTheme="majorHAnsi" w:eastAsia="Times New Roman" w:hAnsiTheme="majorHAnsi" w:cstheme="majorHAnsi"/>
          <w:lang w:eastAsia="en-GB"/>
        </w:rPr>
        <w:t>and</w:t>
      </w:r>
      <w:r w:rsidR="00C55A73" w:rsidRPr="00D713FE">
        <w:rPr>
          <w:rFonts w:asciiTheme="majorHAnsi" w:eastAsia="Times New Roman" w:hAnsiTheme="majorHAnsi" w:cstheme="majorHAnsi"/>
          <w:lang w:eastAsia="en-GB"/>
        </w:rPr>
        <w:t xml:space="preserve"> will be reported to the Tissue Management Committee at its next meeting, and form part of the annual report to the DI’s Departmental Senior Management Board.</w:t>
      </w:r>
      <w:r w:rsidR="00411FE3">
        <w:rPr>
          <w:rFonts w:asciiTheme="majorHAnsi" w:eastAsia="Times New Roman" w:hAnsiTheme="majorHAnsi" w:cstheme="majorHAnsi"/>
          <w:lang w:eastAsia="en-GB"/>
        </w:rPr>
        <w:t xml:space="preserve"> </w:t>
      </w:r>
      <w:r w:rsidRPr="00D713FE">
        <w:rPr>
          <w:rFonts w:asciiTheme="majorHAnsi" w:eastAsia="Times New Roman" w:hAnsiTheme="majorHAnsi" w:cstheme="majorHAnsi"/>
          <w:lang w:eastAsia="en-GB"/>
        </w:rPr>
        <w:t xml:space="preserve">Where an event is regarded as serious (see Table 1 for examples) this should be reported via the </w:t>
      </w:r>
      <w:r w:rsidR="00C55A73" w:rsidRPr="00D713FE">
        <w:rPr>
          <w:rFonts w:asciiTheme="majorHAnsi" w:eastAsia="Times New Roman" w:hAnsiTheme="majorHAnsi" w:cstheme="majorHAnsi"/>
          <w:lang w:eastAsia="en-GB"/>
        </w:rPr>
        <w:t>DI to the HTA.</w:t>
      </w:r>
    </w:p>
    <w:p w14:paraId="0DDD873F" w14:textId="77777777" w:rsidR="008E341E" w:rsidRPr="00D32193" w:rsidRDefault="008E341E" w:rsidP="00D32193">
      <w:pPr>
        <w:spacing w:before="100" w:beforeAutospacing="1" w:after="100" w:afterAutospacing="1"/>
        <w:ind w:left="142" w:right="112" w:firstLine="1"/>
        <w:jc w:val="both"/>
        <w:rPr>
          <w:rFonts w:asciiTheme="majorHAnsi" w:hAnsiTheme="majorHAnsi" w:cstheme="majorHAnsi"/>
          <w:b/>
          <w:bCs/>
          <w:lang w:val="en-GB"/>
        </w:rPr>
      </w:pPr>
      <w:r w:rsidRPr="00D32193">
        <w:rPr>
          <w:rFonts w:asciiTheme="majorHAnsi" w:hAnsiTheme="majorHAnsi" w:cstheme="majorHAnsi"/>
          <w:b/>
          <w:bCs/>
          <w:lang w:val="en-GB"/>
        </w:rPr>
        <w:t xml:space="preserve">Table 1 - Examples of categorization of adverse events are shown below: </w:t>
      </w:r>
    </w:p>
    <w:tbl>
      <w:tblPr>
        <w:tblW w:w="0" w:type="auto"/>
        <w:tblCellMar>
          <w:top w:w="15" w:type="dxa"/>
          <w:left w:w="15" w:type="dxa"/>
          <w:bottom w:w="15" w:type="dxa"/>
          <w:right w:w="15" w:type="dxa"/>
        </w:tblCellMar>
        <w:tblLook w:val="04A0" w:firstRow="1" w:lastRow="0" w:firstColumn="1" w:lastColumn="0" w:noHBand="0" w:noVBand="1"/>
      </w:tblPr>
      <w:tblGrid>
        <w:gridCol w:w="1283"/>
        <w:gridCol w:w="9167"/>
      </w:tblGrid>
      <w:tr w:rsidR="008E341E" w:rsidRPr="00D713FE" w14:paraId="0A82A001" w14:textId="77777777" w:rsidTr="00895800">
        <w:tc>
          <w:tcPr>
            <w:tcW w:w="1283" w:type="dxa"/>
            <w:tcBorders>
              <w:top w:val="single" w:sz="4" w:space="0" w:color="000000"/>
              <w:left w:val="single" w:sz="4" w:space="0" w:color="000000"/>
              <w:bottom w:val="single" w:sz="4" w:space="0" w:color="000000"/>
              <w:right w:val="single" w:sz="4" w:space="0" w:color="000000"/>
            </w:tcBorders>
            <w:vAlign w:val="center"/>
            <w:hideMark/>
          </w:tcPr>
          <w:p w14:paraId="069A4698" w14:textId="77777777" w:rsidR="008E341E" w:rsidRPr="00D713FE" w:rsidRDefault="008E341E" w:rsidP="00D32193">
            <w:pPr>
              <w:spacing w:before="100" w:beforeAutospacing="1" w:after="100" w:afterAutospacing="1"/>
              <w:ind w:left="142" w:right="112" w:firstLine="1"/>
              <w:rPr>
                <w:rFonts w:asciiTheme="majorHAnsi" w:hAnsiTheme="majorHAnsi" w:cstheme="majorHAnsi"/>
                <w:lang w:val="en-GB"/>
              </w:rPr>
            </w:pPr>
            <w:r w:rsidRPr="00D713FE">
              <w:rPr>
                <w:rFonts w:asciiTheme="majorHAnsi" w:hAnsiTheme="majorHAnsi" w:cstheme="majorHAnsi"/>
                <w:b/>
                <w:bCs/>
                <w:lang w:val="en-GB"/>
              </w:rPr>
              <w:t xml:space="preserve">Category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92EC5D" w14:textId="77777777" w:rsidR="008E341E" w:rsidRPr="00D713FE" w:rsidRDefault="008E341E" w:rsidP="00895800">
            <w:pPr>
              <w:spacing w:before="100" w:beforeAutospacing="1" w:after="100" w:afterAutospacing="1"/>
              <w:ind w:left="256" w:right="112" w:firstLine="1"/>
              <w:rPr>
                <w:rFonts w:asciiTheme="majorHAnsi" w:hAnsiTheme="majorHAnsi" w:cstheme="majorHAnsi"/>
                <w:lang w:val="en-GB"/>
              </w:rPr>
            </w:pPr>
            <w:r w:rsidRPr="00D713FE">
              <w:rPr>
                <w:rFonts w:asciiTheme="majorHAnsi" w:hAnsiTheme="majorHAnsi" w:cstheme="majorHAnsi"/>
                <w:b/>
                <w:bCs/>
                <w:lang w:val="en-GB"/>
              </w:rPr>
              <w:t xml:space="preserve">Example </w:t>
            </w:r>
          </w:p>
        </w:tc>
      </w:tr>
      <w:tr w:rsidR="008E341E" w:rsidRPr="00D713FE" w14:paraId="31E9ABE7" w14:textId="77777777" w:rsidTr="00895800">
        <w:tc>
          <w:tcPr>
            <w:tcW w:w="1283" w:type="dxa"/>
            <w:tcBorders>
              <w:top w:val="single" w:sz="4" w:space="0" w:color="000000"/>
              <w:left w:val="single" w:sz="4" w:space="0" w:color="000000"/>
              <w:bottom w:val="single" w:sz="4" w:space="0" w:color="000000"/>
              <w:right w:val="single" w:sz="4" w:space="0" w:color="000000"/>
            </w:tcBorders>
            <w:shd w:val="clear" w:color="auto" w:fill="FF0000"/>
            <w:vAlign w:val="center"/>
            <w:hideMark/>
          </w:tcPr>
          <w:p w14:paraId="5040EF46" w14:textId="77777777" w:rsidR="008E341E" w:rsidRPr="00D713FE" w:rsidRDefault="008E341E" w:rsidP="00D32193">
            <w:pPr>
              <w:spacing w:before="100" w:beforeAutospacing="1" w:after="100" w:afterAutospacing="1"/>
              <w:ind w:left="142" w:right="112" w:firstLine="1"/>
              <w:rPr>
                <w:rFonts w:asciiTheme="majorHAnsi" w:hAnsiTheme="majorHAnsi" w:cstheme="majorHAnsi"/>
                <w:lang w:val="en-GB"/>
              </w:rPr>
            </w:pPr>
            <w:r w:rsidRPr="00D713FE">
              <w:rPr>
                <w:rFonts w:asciiTheme="majorHAnsi" w:hAnsiTheme="majorHAnsi" w:cstheme="majorHAnsi"/>
                <w:b/>
                <w:bCs/>
                <w:lang w:val="en-GB"/>
              </w:rPr>
              <w:t xml:space="preserve">Serious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6283103" w14:textId="77777777" w:rsidR="008E341E" w:rsidRPr="00D713FE" w:rsidRDefault="008E341E" w:rsidP="00895800">
            <w:pPr>
              <w:numPr>
                <w:ilvl w:val="0"/>
                <w:numId w:val="7"/>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Conduct of non-licensed activities (</w:t>
            </w:r>
            <w:proofErr w:type="gramStart"/>
            <w:r w:rsidRPr="00D713FE">
              <w:rPr>
                <w:rFonts w:asciiTheme="majorHAnsi" w:hAnsiTheme="majorHAnsi" w:cstheme="majorHAnsi"/>
                <w:lang w:val="en-GB"/>
              </w:rPr>
              <w:t>e.g.</w:t>
            </w:r>
            <w:proofErr w:type="gramEnd"/>
            <w:r w:rsidRPr="00D713FE">
              <w:rPr>
                <w:rFonts w:asciiTheme="majorHAnsi" w:hAnsiTheme="majorHAnsi" w:cstheme="majorHAnsi"/>
                <w:lang w:val="en-GB"/>
              </w:rPr>
              <w:t xml:space="preserve"> storage of relevant material for research without NHS REC approval) </w:t>
            </w:r>
          </w:p>
          <w:p w14:paraId="2EED1F1A" w14:textId="77777777" w:rsidR="008E341E" w:rsidRPr="00D713FE" w:rsidRDefault="008E341E" w:rsidP="00895800">
            <w:pPr>
              <w:numPr>
                <w:ilvl w:val="0"/>
                <w:numId w:val="7"/>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Non-recoverable loss of unique relevant material (</w:t>
            </w:r>
            <w:proofErr w:type="gramStart"/>
            <w:r w:rsidRPr="00D713FE">
              <w:rPr>
                <w:rFonts w:asciiTheme="majorHAnsi" w:hAnsiTheme="majorHAnsi" w:cstheme="majorHAnsi"/>
                <w:lang w:val="en-GB"/>
              </w:rPr>
              <w:t>e.g.</w:t>
            </w:r>
            <w:proofErr w:type="gramEnd"/>
            <w:r w:rsidRPr="00D713FE">
              <w:rPr>
                <w:rFonts w:asciiTheme="majorHAnsi" w:hAnsiTheme="majorHAnsi" w:cstheme="majorHAnsi"/>
                <w:lang w:val="en-GB"/>
              </w:rPr>
              <w:t xml:space="preserve"> through freezer/alarm failure) </w:t>
            </w:r>
          </w:p>
          <w:p w14:paraId="59CEE835" w14:textId="77777777" w:rsidR="008E341E" w:rsidRPr="00D713FE" w:rsidRDefault="008E341E" w:rsidP="00895800">
            <w:pPr>
              <w:numPr>
                <w:ilvl w:val="0"/>
                <w:numId w:val="7"/>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 xml:space="preserve">Relevant material removed from a participant, </w:t>
            </w:r>
            <w:proofErr w:type="gramStart"/>
            <w:r w:rsidRPr="00D713FE">
              <w:rPr>
                <w:rFonts w:asciiTheme="majorHAnsi" w:hAnsiTheme="majorHAnsi" w:cstheme="majorHAnsi"/>
                <w:lang w:val="en-GB"/>
              </w:rPr>
              <w:t>stored</w:t>
            </w:r>
            <w:proofErr w:type="gramEnd"/>
            <w:r w:rsidRPr="00D713FE">
              <w:rPr>
                <w:rFonts w:asciiTheme="majorHAnsi" w:hAnsiTheme="majorHAnsi" w:cstheme="majorHAnsi"/>
                <w:lang w:val="en-GB"/>
              </w:rPr>
              <w:t xml:space="preserve"> or used without appropriate consent </w:t>
            </w:r>
          </w:p>
          <w:p w14:paraId="71AF2932" w14:textId="77777777" w:rsidR="008E341E" w:rsidRPr="00D713FE" w:rsidRDefault="008E341E" w:rsidP="00895800">
            <w:pPr>
              <w:numPr>
                <w:ilvl w:val="0"/>
                <w:numId w:val="7"/>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 xml:space="preserve">Staff member seeking consent without appropriate training </w:t>
            </w:r>
          </w:p>
          <w:p w14:paraId="67CC4B3D" w14:textId="77777777" w:rsidR="008E341E" w:rsidRPr="00D713FE" w:rsidRDefault="008E341E" w:rsidP="00895800">
            <w:pPr>
              <w:numPr>
                <w:ilvl w:val="0"/>
                <w:numId w:val="7"/>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 xml:space="preserve">Loss/compromise of relevant material and/or patient records during transportation </w:t>
            </w:r>
          </w:p>
          <w:p w14:paraId="236F488A" w14:textId="77777777" w:rsidR="008E341E" w:rsidRPr="00D713FE" w:rsidRDefault="008E341E" w:rsidP="00895800">
            <w:pPr>
              <w:numPr>
                <w:ilvl w:val="0"/>
                <w:numId w:val="7"/>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lastRenderedPageBreak/>
              <w:t>Relevant material used for a research study without NHS REC</w:t>
            </w:r>
            <w:r w:rsidR="00626936" w:rsidRPr="00D713FE">
              <w:rPr>
                <w:rFonts w:asciiTheme="majorHAnsi" w:hAnsiTheme="majorHAnsi" w:cstheme="majorHAnsi"/>
                <w:lang w:val="en-GB"/>
              </w:rPr>
              <w:t>/ARP</w:t>
            </w:r>
            <w:r w:rsidRPr="00D713FE">
              <w:rPr>
                <w:rFonts w:asciiTheme="majorHAnsi" w:hAnsiTheme="majorHAnsi" w:cstheme="majorHAnsi"/>
                <w:lang w:val="en-GB"/>
              </w:rPr>
              <w:t xml:space="preserve"> approval </w:t>
            </w:r>
          </w:p>
          <w:p w14:paraId="7F3EA6C1" w14:textId="2F130FAC" w:rsidR="008E341E" w:rsidRPr="00D713FE" w:rsidRDefault="008E341E" w:rsidP="00895800">
            <w:pPr>
              <w:numPr>
                <w:ilvl w:val="0"/>
                <w:numId w:val="7"/>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Breach of Data protection/confidentiality</w:t>
            </w:r>
            <w:r w:rsidR="00B446DC" w:rsidRPr="00D713FE">
              <w:rPr>
                <w:rFonts w:asciiTheme="majorHAnsi" w:hAnsiTheme="majorHAnsi" w:cstheme="majorHAnsi"/>
                <w:lang w:val="en-GB"/>
              </w:rPr>
              <w:t xml:space="preserve"> (T</w:t>
            </w:r>
            <w:r w:rsidR="00626936" w:rsidRPr="00D713FE">
              <w:rPr>
                <w:rFonts w:asciiTheme="majorHAnsi" w:hAnsiTheme="majorHAnsi" w:cstheme="majorHAnsi"/>
                <w:lang w:val="en-GB"/>
              </w:rPr>
              <w:t>his must also</w:t>
            </w:r>
            <w:r w:rsidR="00B446DC" w:rsidRPr="00D713FE">
              <w:rPr>
                <w:rFonts w:asciiTheme="majorHAnsi" w:hAnsiTheme="majorHAnsi" w:cstheme="majorHAnsi"/>
                <w:lang w:val="en-GB"/>
              </w:rPr>
              <w:t xml:space="preserve"> be reported via the College’s </w:t>
            </w:r>
            <w:hyperlink r:id="rId15" w:anchor=":~:text=What%20this%20means%20is%20that,.imperial.ac.uk." w:history="1">
              <w:r w:rsidR="00B446DC" w:rsidRPr="00D713FE">
                <w:rPr>
                  <w:rStyle w:val="Hyperlink"/>
                  <w:rFonts w:asciiTheme="majorHAnsi" w:hAnsiTheme="majorHAnsi" w:cstheme="majorHAnsi"/>
                  <w:lang w:val="en-GB"/>
                </w:rPr>
                <w:t>Notification of a Data B</w:t>
              </w:r>
              <w:r w:rsidR="00626936" w:rsidRPr="00D713FE">
                <w:rPr>
                  <w:rStyle w:val="Hyperlink"/>
                  <w:rFonts w:asciiTheme="majorHAnsi" w:hAnsiTheme="majorHAnsi" w:cstheme="majorHAnsi"/>
                  <w:lang w:val="en-GB"/>
                </w:rPr>
                <w:t>reach</w:t>
              </w:r>
              <w:r w:rsidR="00B446DC" w:rsidRPr="00D713FE">
                <w:rPr>
                  <w:rStyle w:val="Hyperlink"/>
                  <w:rFonts w:asciiTheme="majorHAnsi" w:hAnsiTheme="majorHAnsi" w:cstheme="majorHAnsi"/>
                  <w:lang w:val="en-GB"/>
                </w:rPr>
                <w:t xml:space="preserve"> System)</w:t>
              </w:r>
              <w:r w:rsidR="00626936" w:rsidRPr="00D713FE">
                <w:rPr>
                  <w:rStyle w:val="Hyperlink"/>
                  <w:rFonts w:asciiTheme="majorHAnsi" w:hAnsiTheme="majorHAnsi" w:cstheme="majorHAnsi"/>
                  <w:lang w:val="en-GB"/>
                </w:rPr>
                <w:t xml:space="preserve"> </w:t>
              </w:r>
            </w:hyperlink>
            <w:r w:rsidRPr="00D713FE">
              <w:rPr>
                <w:rFonts w:asciiTheme="majorHAnsi" w:hAnsiTheme="majorHAnsi" w:cstheme="majorHAnsi"/>
                <w:lang w:val="en-GB"/>
              </w:rPr>
              <w:t xml:space="preserve"> </w:t>
            </w:r>
          </w:p>
          <w:p w14:paraId="2190250A" w14:textId="77777777" w:rsidR="008E341E" w:rsidRPr="00D713FE" w:rsidRDefault="008E341E" w:rsidP="00895800">
            <w:pPr>
              <w:numPr>
                <w:ilvl w:val="0"/>
                <w:numId w:val="7"/>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 xml:space="preserve">Failure to dispose of material appropriately </w:t>
            </w:r>
          </w:p>
        </w:tc>
      </w:tr>
      <w:tr w:rsidR="008E341E" w:rsidRPr="00D713FE" w14:paraId="26070B17" w14:textId="77777777" w:rsidTr="00895800">
        <w:tc>
          <w:tcPr>
            <w:tcW w:w="1283" w:type="dxa"/>
            <w:tcBorders>
              <w:top w:val="single" w:sz="4" w:space="0" w:color="000000"/>
              <w:left w:val="single" w:sz="4" w:space="0" w:color="000000"/>
              <w:bottom w:val="single" w:sz="4" w:space="0" w:color="000000"/>
              <w:right w:val="single" w:sz="4" w:space="0" w:color="000000"/>
            </w:tcBorders>
            <w:shd w:val="clear" w:color="auto" w:fill="FFBF00"/>
            <w:vAlign w:val="center"/>
            <w:hideMark/>
          </w:tcPr>
          <w:p w14:paraId="6C748A64" w14:textId="77777777" w:rsidR="008E341E" w:rsidRPr="00D713FE" w:rsidRDefault="008E341E" w:rsidP="00D32193">
            <w:pPr>
              <w:spacing w:before="100" w:beforeAutospacing="1" w:after="100" w:afterAutospacing="1"/>
              <w:ind w:left="142" w:right="112" w:firstLine="1"/>
              <w:rPr>
                <w:rFonts w:asciiTheme="majorHAnsi" w:hAnsiTheme="majorHAnsi" w:cstheme="majorHAnsi"/>
                <w:lang w:val="en-GB"/>
              </w:rPr>
            </w:pPr>
            <w:r w:rsidRPr="00D713FE">
              <w:rPr>
                <w:rFonts w:asciiTheme="majorHAnsi" w:hAnsiTheme="majorHAnsi" w:cstheme="majorHAnsi"/>
                <w:b/>
                <w:bCs/>
                <w:lang w:val="en-GB"/>
              </w:rPr>
              <w:lastRenderedPageBreak/>
              <w:t xml:space="preserve">Moderate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DEE177D" w14:textId="77777777" w:rsidR="008E341E" w:rsidRPr="00D713FE" w:rsidRDefault="008E341E" w:rsidP="00895800">
            <w:pPr>
              <w:numPr>
                <w:ilvl w:val="0"/>
                <w:numId w:val="8"/>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Relevant material transported without appropriate transfer agreement (</w:t>
            </w:r>
            <w:proofErr w:type="gramStart"/>
            <w:r w:rsidRPr="00D713FE">
              <w:rPr>
                <w:rFonts w:asciiTheme="majorHAnsi" w:hAnsiTheme="majorHAnsi" w:cstheme="majorHAnsi"/>
                <w:lang w:val="en-GB"/>
              </w:rPr>
              <w:t>e.g.</w:t>
            </w:r>
            <w:proofErr w:type="gramEnd"/>
            <w:r w:rsidRPr="00D713FE">
              <w:rPr>
                <w:rFonts w:asciiTheme="majorHAnsi" w:hAnsiTheme="majorHAnsi" w:cstheme="majorHAnsi"/>
                <w:lang w:val="en-GB"/>
              </w:rPr>
              <w:t xml:space="preserve"> MTA) in place </w:t>
            </w:r>
          </w:p>
          <w:p w14:paraId="4207E54F" w14:textId="33A7E4EA" w:rsidR="008E341E" w:rsidRPr="00D713FE" w:rsidRDefault="00B67E08" w:rsidP="00895800">
            <w:pPr>
              <w:numPr>
                <w:ilvl w:val="0"/>
                <w:numId w:val="8"/>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Labelling</w:t>
            </w:r>
            <w:r w:rsidR="008E341E" w:rsidRPr="00D713FE">
              <w:rPr>
                <w:rFonts w:asciiTheme="majorHAnsi" w:hAnsiTheme="majorHAnsi" w:cstheme="majorHAnsi"/>
                <w:lang w:val="en-GB"/>
              </w:rPr>
              <w:t xml:space="preserve"> error that </w:t>
            </w:r>
            <w:proofErr w:type="gramStart"/>
            <w:r w:rsidR="008E341E" w:rsidRPr="00D713FE">
              <w:rPr>
                <w:rFonts w:asciiTheme="majorHAnsi" w:hAnsiTheme="majorHAnsi" w:cstheme="majorHAnsi"/>
                <w:lang w:val="en-GB"/>
              </w:rPr>
              <w:t>lead</w:t>
            </w:r>
            <w:proofErr w:type="gramEnd"/>
            <w:r w:rsidR="008E341E" w:rsidRPr="00D713FE">
              <w:rPr>
                <w:rFonts w:asciiTheme="majorHAnsi" w:hAnsiTheme="majorHAnsi" w:cstheme="majorHAnsi"/>
                <w:lang w:val="en-GB"/>
              </w:rPr>
              <w:t xml:space="preserve"> to the incorrect use of samples </w:t>
            </w:r>
          </w:p>
          <w:p w14:paraId="43F4EBCE" w14:textId="77777777" w:rsidR="008E341E" w:rsidRPr="00D713FE" w:rsidRDefault="008E341E" w:rsidP="00895800">
            <w:pPr>
              <w:numPr>
                <w:ilvl w:val="0"/>
                <w:numId w:val="8"/>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 xml:space="preserve">Inappropriate transport of specimens </w:t>
            </w:r>
          </w:p>
        </w:tc>
      </w:tr>
      <w:tr w:rsidR="008E341E" w:rsidRPr="00D713FE" w14:paraId="37106DC6" w14:textId="77777777" w:rsidTr="00895800">
        <w:tc>
          <w:tcPr>
            <w:tcW w:w="1283" w:type="dxa"/>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7412F3E" w14:textId="77777777" w:rsidR="008E341E" w:rsidRPr="00D713FE" w:rsidRDefault="008E341E" w:rsidP="00D32193">
            <w:pPr>
              <w:spacing w:before="100" w:beforeAutospacing="1" w:after="100" w:afterAutospacing="1"/>
              <w:ind w:left="142" w:right="112" w:firstLine="1"/>
              <w:rPr>
                <w:rFonts w:asciiTheme="majorHAnsi" w:hAnsiTheme="majorHAnsi" w:cstheme="majorHAnsi"/>
                <w:lang w:val="en-GB"/>
              </w:rPr>
            </w:pPr>
            <w:r w:rsidRPr="00D713FE">
              <w:rPr>
                <w:rFonts w:asciiTheme="majorHAnsi" w:hAnsiTheme="majorHAnsi" w:cstheme="majorHAnsi"/>
                <w:b/>
                <w:bCs/>
                <w:lang w:val="en-GB"/>
              </w:rPr>
              <w:t xml:space="preserve">Minor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ABE5F14" w14:textId="77777777" w:rsidR="008E341E" w:rsidRPr="00D713FE" w:rsidRDefault="008E341E" w:rsidP="00895800">
            <w:pPr>
              <w:numPr>
                <w:ilvl w:val="0"/>
                <w:numId w:val="9"/>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 xml:space="preserve">Incorrect version of policy or SOP in use </w:t>
            </w:r>
          </w:p>
          <w:p w14:paraId="145237FE" w14:textId="77777777" w:rsidR="008E341E" w:rsidRPr="00D713FE" w:rsidRDefault="008E341E" w:rsidP="00895800">
            <w:pPr>
              <w:numPr>
                <w:ilvl w:val="0"/>
                <w:numId w:val="9"/>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 xml:space="preserve">Not registering new SOPs or updating existing SOPS to reflect changes in practice </w:t>
            </w:r>
          </w:p>
          <w:p w14:paraId="313AC7D1" w14:textId="77777777" w:rsidR="008E341E" w:rsidRPr="00D713FE" w:rsidRDefault="008E341E" w:rsidP="00895800">
            <w:pPr>
              <w:numPr>
                <w:ilvl w:val="0"/>
                <w:numId w:val="9"/>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 xml:space="preserve">Documentation temporarily misplaced </w:t>
            </w:r>
          </w:p>
        </w:tc>
      </w:tr>
      <w:tr w:rsidR="008E341E" w:rsidRPr="00D713FE" w14:paraId="0E35FDD3" w14:textId="77777777" w:rsidTr="00895800">
        <w:tc>
          <w:tcPr>
            <w:tcW w:w="1283" w:type="dxa"/>
            <w:tcBorders>
              <w:top w:val="single" w:sz="4" w:space="0" w:color="000000"/>
              <w:left w:val="single" w:sz="4" w:space="0" w:color="000000"/>
              <w:bottom w:val="single" w:sz="4" w:space="0" w:color="000000"/>
              <w:right w:val="single" w:sz="4" w:space="0" w:color="000000"/>
            </w:tcBorders>
            <w:vAlign w:val="center"/>
            <w:hideMark/>
          </w:tcPr>
          <w:p w14:paraId="0C501E66" w14:textId="77777777" w:rsidR="008E341E" w:rsidRPr="00D713FE" w:rsidRDefault="008E341E" w:rsidP="00D32193">
            <w:pPr>
              <w:spacing w:before="100" w:beforeAutospacing="1" w:after="100" w:afterAutospacing="1"/>
              <w:ind w:left="142" w:right="112" w:firstLine="1"/>
              <w:rPr>
                <w:rFonts w:asciiTheme="majorHAnsi" w:hAnsiTheme="majorHAnsi" w:cstheme="majorHAnsi"/>
                <w:lang w:val="en-GB"/>
              </w:rPr>
            </w:pPr>
            <w:r w:rsidRPr="00D713FE">
              <w:rPr>
                <w:rFonts w:asciiTheme="majorHAnsi" w:hAnsiTheme="majorHAnsi" w:cstheme="majorHAnsi"/>
                <w:b/>
                <w:bCs/>
                <w:lang w:val="en-GB"/>
              </w:rPr>
              <w:t xml:space="preserve">Near Miss </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8AADDE2" w14:textId="77777777" w:rsidR="008E341E" w:rsidRPr="00D713FE" w:rsidRDefault="008E341E" w:rsidP="00895800">
            <w:pPr>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 xml:space="preserve">An adverse event could have occurred if intervention had not been made, e.g. </w:t>
            </w:r>
          </w:p>
          <w:p w14:paraId="4E0F1519" w14:textId="77777777" w:rsidR="008E341E" w:rsidRPr="00D713FE" w:rsidRDefault="008E341E" w:rsidP="00895800">
            <w:pPr>
              <w:numPr>
                <w:ilvl w:val="0"/>
                <w:numId w:val="10"/>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 xml:space="preserve">Short term cold storage failure with no harm to tissue </w:t>
            </w:r>
          </w:p>
          <w:p w14:paraId="33A92C6F" w14:textId="77777777" w:rsidR="008E341E" w:rsidRPr="00D713FE" w:rsidRDefault="008E341E" w:rsidP="00895800">
            <w:pPr>
              <w:numPr>
                <w:ilvl w:val="0"/>
                <w:numId w:val="10"/>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 xml:space="preserve">Freezer failure leading to the requirement to transfer samples to alternative locations. </w:t>
            </w:r>
          </w:p>
          <w:p w14:paraId="7C1A7BAE" w14:textId="77777777" w:rsidR="008E341E" w:rsidRPr="00D713FE" w:rsidRDefault="008E341E" w:rsidP="00895800">
            <w:pPr>
              <w:numPr>
                <w:ilvl w:val="0"/>
                <w:numId w:val="10"/>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 xml:space="preserve">Alarm failure with no harm to tissue </w:t>
            </w:r>
          </w:p>
          <w:p w14:paraId="1F07CEDB" w14:textId="47836A85" w:rsidR="008E341E" w:rsidRPr="00D713FE" w:rsidRDefault="00BF086A" w:rsidP="00895800">
            <w:pPr>
              <w:numPr>
                <w:ilvl w:val="0"/>
                <w:numId w:val="10"/>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Labelling</w:t>
            </w:r>
            <w:r w:rsidR="008E341E" w:rsidRPr="00D713FE">
              <w:rPr>
                <w:rFonts w:asciiTheme="majorHAnsi" w:hAnsiTheme="majorHAnsi" w:cstheme="majorHAnsi"/>
                <w:lang w:val="en-GB"/>
              </w:rPr>
              <w:t xml:space="preserve"> error that was remedied </w:t>
            </w:r>
          </w:p>
          <w:p w14:paraId="099758CA" w14:textId="77777777" w:rsidR="008E341E" w:rsidRPr="00D713FE" w:rsidRDefault="008E341E" w:rsidP="00895800">
            <w:pPr>
              <w:numPr>
                <w:ilvl w:val="0"/>
                <w:numId w:val="10"/>
              </w:numPr>
              <w:tabs>
                <w:tab w:val="clear" w:pos="720"/>
              </w:tabs>
              <w:spacing w:before="100" w:beforeAutospacing="1" w:after="100" w:afterAutospacing="1"/>
              <w:ind w:left="397" w:right="112" w:hanging="140"/>
              <w:rPr>
                <w:rFonts w:asciiTheme="majorHAnsi" w:hAnsiTheme="majorHAnsi" w:cstheme="majorHAnsi"/>
                <w:lang w:val="en-GB"/>
              </w:rPr>
            </w:pPr>
            <w:r w:rsidRPr="00D713FE">
              <w:rPr>
                <w:rFonts w:asciiTheme="majorHAnsi" w:hAnsiTheme="majorHAnsi" w:cstheme="majorHAnsi"/>
                <w:lang w:val="en-GB"/>
              </w:rPr>
              <w:t xml:space="preserve">Unauthorised access to tissue under licence with no harm to tissue </w:t>
            </w:r>
          </w:p>
        </w:tc>
      </w:tr>
    </w:tbl>
    <w:p w14:paraId="48574338" w14:textId="77777777" w:rsidR="008E341E" w:rsidRPr="00D713FE" w:rsidRDefault="008E341E" w:rsidP="00D32193">
      <w:pPr>
        <w:shd w:val="clear" w:color="auto" w:fill="FFFFFF"/>
        <w:spacing w:before="100" w:beforeAutospacing="1" w:after="100" w:afterAutospacing="1"/>
        <w:ind w:left="142" w:right="112" w:firstLine="1"/>
        <w:rPr>
          <w:rFonts w:asciiTheme="majorHAnsi" w:eastAsia="Times New Roman" w:hAnsiTheme="majorHAnsi" w:cstheme="majorHAnsi"/>
          <w:b/>
          <w:lang w:eastAsia="en-GB"/>
        </w:rPr>
      </w:pPr>
    </w:p>
    <w:p w14:paraId="2B983886" w14:textId="49F3934E" w:rsidR="00E23662" w:rsidRPr="00E065AE" w:rsidRDefault="007F4364" w:rsidP="00E065AE">
      <w:pPr>
        <w:pStyle w:val="ListParagraph"/>
        <w:numPr>
          <w:ilvl w:val="0"/>
          <w:numId w:val="16"/>
        </w:numPr>
        <w:shd w:val="clear" w:color="auto" w:fill="FFFFFF" w:themeFill="background1"/>
        <w:spacing w:before="100" w:beforeAutospacing="1" w:after="100" w:afterAutospacing="1"/>
        <w:ind w:right="112"/>
        <w:rPr>
          <w:rFonts w:asciiTheme="majorHAnsi" w:eastAsia="Times New Roman" w:hAnsiTheme="majorHAnsi" w:cstheme="majorHAnsi"/>
          <w:b/>
          <w:lang w:eastAsia="en-GB"/>
        </w:rPr>
      </w:pPr>
      <w:r w:rsidRPr="00E23662">
        <w:rPr>
          <w:rFonts w:asciiTheme="majorHAnsi" w:eastAsia="Times New Roman" w:hAnsiTheme="majorHAnsi" w:cstheme="majorHAnsi"/>
          <w:b/>
          <w:lang w:eastAsia="en-GB"/>
        </w:rPr>
        <w:t>Auditing of sub-collections</w:t>
      </w:r>
    </w:p>
    <w:p w14:paraId="514D02FA" w14:textId="6B74E3D4" w:rsidR="007F4364" w:rsidRPr="00D713FE" w:rsidRDefault="007F4364" w:rsidP="00D32193">
      <w:pPr>
        <w:shd w:val="clear" w:color="auto" w:fill="FFFFFF" w:themeFill="background1"/>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The HTA regard audit as an important component in operating a Research Licence.</w:t>
      </w:r>
      <w:r w:rsidR="00411FE3">
        <w:rPr>
          <w:rFonts w:asciiTheme="majorHAnsi" w:eastAsia="Times New Roman" w:hAnsiTheme="majorHAnsi" w:cstheme="majorHAnsi"/>
          <w:lang w:eastAsia="en-GB"/>
        </w:rPr>
        <w:t xml:space="preserve"> </w:t>
      </w:r>
      <w:r w:rsidRPr="00D713FE">
        <w:rPr>
          <w:rFonts w:asciiTheme="majorHAnsi" w:eastAsia="Times New Roman" w:hAnsiTheme="majorHAnsi" w:cstheme="majorHAnsi"/>
          <w:lang w:eastAsia="en-GB"/>
        </w:rPr>
        <w:t>Audits should be carried out according to the relevant SOP (TB-SOP-003SCM).</w:t>
      </w:r>
      <w:r w:rsidR="00411FE3">
        <w:rPr>
          <w:rFonts w:asciiTheme="majorHAnsi" w:eastAsia="Times New Roman" w:hAnsiTheme="majorHAnsi" w:cstheme="majorHAnsi"/>
          <w:lang w:eastAsia="en-GB"/>
        </w:rPr>
        <w:t xml:space="preserve"> </w:t>
      </w:r>
      <w:r w:rsidRPr="00D713FE">
        <w:rPr>
          <w:rFonts w:asciiTheme="majorHAnsi" w:eastAsia="Times New Roman" w:hAnsiTheme="majorHAnsi" w:cstheme="majorHAnsi"/>
          <w:lang w:eastAsia="en-GB"/>
        </w:rPr>
        <w:t>A report should be issued detailing the findings of the audit (TB-DOC-SCM4).</w:t>
      </w:r>
      <w:r w:rsidR="00411FE3">
        <w:rPr>
          <w:rFonts w:asciiTheme="majorHAnsi" w:eastAsia="Times New Roman" w:hAnsiTheme="majorHAnsi" w:cstheme="majorHAnsi"/>
          <w:lang w:eastAsia="en-GB"/>
        </w:rPr>
        <w:t xml:space="preserve"> </w:t>
      </w:r>
      <w:r w:rsidRPr="00D713FE">
        <w:rPr>
          <w:rFonts w:asciiTheme="majorHAnsi" w:eastAsia="Times New Roman" w:hAnsiTheme="majorHAnsi" w:cstheme="majorHAnsi"/>
          <w:lang w:eastAsia="en-GB"/>
        </w:rPr>
        <w:t xml:space="preserve">Where a </w:t>
      </w:r>
      <w:r w:rsidR="00B67E08" w:rsidRPr="00D713FE">
        <w:rPr>
          <w:rFonts w:asciiTheme="majorHAnsi" w:eastAsia="Times New Roman" w:hAnsiTheme="majorHAnsi" w:cstheme="majorHAnsi"/>
          <w:lang w:eastAsia="en-GB"/>
        </w:rPr>
        <w:t xml:space="preserve">serious </w:t>
      </w:r>
      <w:r w:rsidRPr="00D713FE">
        <w:rPr>
          <w:rFonts w:asciiTheme="majorHAnsi" w:eastAsia="Times New Roman" w:hAnsiTheme="majorHAnsi" w:cstheme="majorHAnsi"/>
          <w:lang w:eastAsia="en-GB"/>
        </w:rPr>
        <w:t>shortfall is identifie</w:t>
      </w:r>
      <w:r w:rsidR="008E341E" w:rsidRPr="00D713FE">
        <w:rPr>
          <w:rFonts w:asciiTheme="majorHAnsi" w:eastAsia="Times New Roman" w:hAnsiTheme="majorHAnsi" w:cstheme="majorHAnsi"/>
          <w:lang w:eastAsia="en-GB"/>
        </w:rPr>
        <w:t xml:space="preserve">d, the PI must complete a Corrective </w:t>
      </w:r>
      <w:r w:rsidR="00B67E08" w:rsidRPr="00D713FE">
        <w:rPr>
          <w:rFonts w:asciiTheme="majorHAnsi" w:eastAsia="Times New Roman" w:hAnsiTheme="majorHAnsi" w:cstheme="majorHAnsi"/>
          <w:lang w:eastAsia="en-GB"/>
        </w:rPr>
        <w:t>and</w:t>
      </w:r>
      <w:r w:rsidRPr="00D713FE">
        <w:rPr>
          <w:rFonts w:asciiTheme="majorHAnsi" w:eastAsia="Times New Roman" w:hAnsiTheme="majorHAnsi" w:cstheme="majorHAnsi"/>
          <w:lang w:eastAsia="en-GB"/>
        </w:rPr>
        <w:t xml:space="preserve"> </w:t>
      </w:r>
      <w:r w:rsidR="008E341E" w:rsidRPr="00D713FE">
        <w:rPr>
          <w:rFonts w:asciiTheme="majorHAnsi" w:eastAsia="Times New Roman" w:hAnsiTheme="majorHAnsi" w:cstheme="majorHAnsi"/>
          <w:lang w:eastAsia="en-GB"/>
        </w:rPr>
        <w:t>Preventative Action Plan (TB-DOC-SCM6)</w:t>
      </w:r>
      <w:r w:rsidR="00626936" w:rsidRPr="00D713FE">
        <w:rPr>
          <w:rFonts w:asciiTheme="majorHAnsi" w:eastAsia="Times New Roman" w:hAnsiTheme="majorHAnsi" w:cstheme="majorHAnsi"/>
          <w:lang w:eastAsia="en-GB"/>
        </w:rPr>
        <w:t>.</w:t>
      </w:r>
      <w:r w:rsidR="00411FE3">
        <w:rPr>
          <w:rFonts w:asciiTheme="majorHAnsi" w:eastAsia="Times New Roman" w:hAnsiTheme="majorHAnsi" w:cstheme="majorHAnsi"/>
          <w:lang w:eastAsia="en-GB"/>
        </w:rPr>
        <w:t xml:space="preserve"> </w:t>
      </w:r>
      <w:r w:rsidR="00626936" w:rsidRPr="00D713FE">
        <w:rPr>
          <w:rFonts w:asciiTheme="majorHAnsi" w:eastAsia="Times New Roman" w:hAnsiTheme="majorHAnsi" w:cstheme="majorHAnsi"/>
          <w:lang w:eastAsia="en-GB"/>
        </w:rPr>
        <w:t xml:space="preserve">A tracking system for the auditing process is provided in the relevant area of the Tissue Bank </w:t>
      </w:r>
      <w:r w:rsidR="00B67E08" w:rsidRPr="00D713FE">
        <w:rPr>
          <w:rFonts w:asciiTheme="majorHAnsi" w:eastAsia="Times New Roman" w:hAnsiTheme="majorHAnsi" w:cstheme="majorHAnsi"/>
          <w:lang w:eastAsia="en-GB"/>
        </w:rPr>
        <w:t>SharePoint</w:t>
      </w:r>
      <w:r w:rsidR="00626936" w:rsidRPr="00D713FE">
        <w:rPr>
          <w:rFonts w:asciiTheme="majorHAnsi" w:eastAsia="Times New Roman" w:hAnsiTheme="majorHAnsi" w:cstheme="majorHAnsi"/>
          <w:lang w:eastAsia="en-GB"/>
        </w:rPr>
        <w:t xml:space="preserve"> site.</w:t>
      </w:r>
      <w:r w:rsidR="00411FE3">
        <w:rPr>
          <w:rFonts w:asciiTheme="majorHAnsi" w:eastAsia="Times New Roman" w:hAnsiTheme="majorHAnsi" w:cstheme="majorHAnsi"/>
          <w:lang w:eastAsia="en-GB"/>
        </w:rPr>
        <w:t xml:space="preserve"> </w:t>
      </w:r>
      <w:r w:rsidR="00626936" w:rsidRPr="00D713FE">
        <w:rPr>
          <w:rFonts w:asciiTheme="majorHAnsi" w:eastAsia="Times New Roman" w:hAnsiTheme="majorHAnsi" w:cstheme="majorHAnsi"/>
          <w:lang w:eastAsia="en-GB"/>
        </w:rPr>
        <w:t>Completed Audit Reports and CAPAs must be uploaded to the sub-collection page on the database.</w:t>
      </w:r>
    </w:p>
    <w:p w14:paraId="55D93853" w14:textId="58BB8639" w:rsidR="00B62D2A" w:rsidRPr="00D713FE" w:rsidRDefault="00B62D2A" w:rsidP="00D32193">
      <w:pPr>
        <w:shd w:val="clear" w:color="auto" w:fill="FFFFFF" w:themeFill="background1"/>
        <w:spacing w:before="100" w:beforeAutospacing="1" w:after="100" w:afterAutospacing="1"/>
        <w:ind w:left="142" w:right="112" w:firstLine="1"/>
        <w:jc w:val="both"/>
        <w:rPr>
          <w:rFonts w:asciiTheme="majorHAnsi" w:eastAsia="Times New Roman" w:hAnsiTheme="majorHAnsi" w:cstheme="majorHAnsi"/>
          <w:lang w:eastAsia="en-GB"/>
        </w:rPr>
      </w:pPr>
      <w:r w:rsidRPr="00D713FE">
        <w:rPr>
          <w:rFonts w:asciiTheme="majorHAnsi" w:eastAsia="Times New Roman" w:hAnsiTheme="majorHAnsi" w:cstheme="majorHAnsi"/>
          <w:lang w:eastAsia="en-GB"/>
        </w:rPr>
        <w:t xml:space="preserve">All other documents referenced in this document can be provided on request by the Tissue Bank by emailing </w:t>
      </w:r>
      <w:hyperlink r:id="rId16" w:history="1">
        <w:r w:rsidR="00D713FE" w:rsidRPr="00DD471E">
          <w:rPr>
            <w:rStyle w:val="Hyperlink"/>
            <w:rFonts w:asciiTheme="majorHAnsi" w:eastAsia="Times New Roman" w:hAnsiTheme="majorHAnsi" w:cstheme="majorHAnsi"/>
            <w:lang w:eastAsia="en-GB"/>
          </w:rPr>
          <w:t>tissuebank@imperial.ac.uk</w:t>
        </w:r>
      </w:hyperlink>
      <w:r w:rsidR="00D713FE">
        <w:rPr>
          <w:rFonts w:asciiTheme="majorHAnsi" w:eastAsia="Times New Roman" w:hAnsiTheme="majorHAnsi" w:cstheme="majorHAnsi"/>
          <w:lang w:eastAsia="en-GB"/>
        </w:rPr>
        <w:t xml:space="preserve"> </w:t>
      </w:r>
    </w:p>
    <w:p w14:paraId="12780126" w14:textId="77777777" w:rsidR="008719BB" w:rsidRPr="00D713FE" w:rsidRDefault="008719BB" w:rsidP="00D32193">
      <w:pPr>
        <w:ind w:left="142" w:right="112" w:firstLine="1"/>
        <w:rPr>
          <w:rFonts w:asciiTheme="majorHAnsi" w:hAnsiTheme="majorHAnsi" w:cstheme="majorHAnsi"/>
        </w:rPr>
      </w:pPr>
    </w:p>
    <w:sectPr w:rsidR="008719BB" w:rsidRPr="00D713FE" w:rsidSect="00E763BF">
      <w:headerReference w:type="even" r:id="rId17"/>
      <w:headerReference w:type="default" r:id="rId18"/>
      <w:footerReference w:type="even" r:id="rId19"/>
      <w:footerReference w:type="default" r:id="rId2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61BF7" w14:textId="77777777" w:rsidR="004747C5" w:rsidRDefault="004747C5" w:rsidP="00626936">
      <w:r>
        <w:separator/>
      </w:r>
    </w:p>
  </w:endnote>
  <w:endnote w:type="continuationSeparator" w:id="0">
    <w:p w14:paraId="52B87139" w14:textId="77777777" w:rsidR="004747C5" w:rsidRDefault="004747C5" w:rsidP="00626936">
      <w:r>
        <w:continuationSeparator/>
      </w:r>
    </w:p>
  </w:endnote>
  <w:endnote w:type="continuationNotice" w:id="1">
    <w:p w14:paraId="0DC8C4D8" w14:textId="77777777" w:rsidR="004747C5" w:rsidRDefault="004747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roman"/>
    <w:pitch w:val="default"/>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F75DC" w14:textId="77777777" w:rsidR="00C76E94" w:rsidRDefault="00C76E94" w:rsidP="00626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A095502" w14:textId="77777777" w:rsidR="00C76E94" w:rsidRDefault="00C76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576241"/>
      <w:docPartObj>
        <w:docPartGallery w:val="Page Numbers (Bottom of Page)"/>
        <w:docPartUnique/>
      </w:docPartObj>
    </w:sdtPr>
    <w:sdtEndPr>
      <w:rPr>
        <w:noProof/>
      </w:rPr>
    </w:sdtEndPr>
    <w:sdtContent>
      <w:p w14:paraId="323A6C50" w14:textId="46C0DE9B" w:rsidR="000F73F1" w:rsidRDefault="000F73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AE977E" w14:textId="77777777" w:rsidR="00C76E94" w:rsidRPr="00C00F2D" w:rsidRDefault="00C76E94">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C3F8B" w14:textId="77777777" w:rsidR="004747C5" w:rsidRDefault="004747C5" w:rsidP="00626936">
      <w:r>
        <w:separator/>
      </w:r>
    </w:p>
  </w:footnote>
  <w:footnote w:type="continuationSeparator" w:id="0">
    <w:p w14:paraId="39676D3D" w14:textId="77777777" w:rsidR="004747C5" w:rsidRDefault="004747C5" w:rsidP="00626936">
      <w:r>
        <w:continuationSeparator/>
      </w:r>
    </w:p>
  </w:footnote>
  <w:footnote w:type="continuationNotice" w:id="1">
    <w:p w14:paraId="76464E5A" w14:textId="77777777" w:rsidR="004747C5" w:rsidRDefault="004747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4BFCC" w14:textId="77777777" w:rsidR="00C76E94" w:rsidRDefault="00000000">
    <w:pPr>
      <w:pStyle w:val="Header"/>
    </w:pPr>
    <w:sdt>
      <w:sdtPr>
        <w:id w:val="171999623"/>
        <w:placeholder>
          <w:docPart w:val="E4317139A0870546A4C0989BB731ED89"/>
        </w:placeholder>
        <w:temporary/>
        <w:showingPlcHdr/>
      </w:sdtPr>
      <w:sdtContent>
        <w:r w:rsidR="00C76E94">
          <w:t>[Type text]</w:t>
        </w:r>
      </w:sdtContent>
    </w:sdt>
    <w:r w:rsidR="00C76E94">
      <w:ptab w:relativeTo="margin" w:alignment="center" w:leader="none"/>
    </w:r>
    <w:sdt>
      <w:sdtPr>
        <w:id w:val="171999624"/>
        <w:placeholder>
          <w:docPart w:val="974BE5FACC55B649BC30D017CD05C598"/>
        </w:placeholder>
        <w:temporary/>
        <w:showingPlcHdr/>
      </w:sdtPr>
      <w:sdtContent>
        <w:r w:rsidR="00C76E94">
          <w:t>[Type text]</w:t>
        </w:r>
      </w:sdtContent>
    </w:sdt>
    <w:r w:rsidR="00C76E94">
      <w:ptab w:relativeTo="margin" w:alignment="right" w:leader="none"/>
    </w:r>
    <w:sdt>
      <w:sdtPr>
        <w:id w:val="171999625"/>
        <w:placeholder>
          <w:docPart w:val="8AD6FFCC27340542962B3D6BC1C5E71B"/>
        </w:placeholder>
        <w:temporary/>
        <w:showingPlcHdr/>
      </w:sdtPr>
      <w:sdtContent>
        <w:r w:rsidR="00C76E94">
          <w:t>[Type text]</w:t>
        </w:r>
      </w:sdtContent>
    </w:sdt>
  </w:p>
  <w:p w14:paraId="559EA3CA" w14:textId="77777777" w:rsidR="00C76E94" w:rsidRDefault="00C76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D2FA5" w14:textId="2BC03BC9" w:rsidR="00C76E94" w:rsidRPr="00CE2E58" w:rsidRDefault="00C76E94">
    <w:pPr>
      <w:pStyle w:val="Header"/>
      <w:rPr>
        <w:rFonts w:asciiTheme="majorHAnsi" w:hAnsiTheme="majorHAnsi" w:cstheme="majorHAnsi"/>
      </w:rPr>
    </w:pPr>
    <w:r w:rsidRPr="00CE2E58">
      <w:rPr>
        <w:rFonts w:asciiTheme="majorHAnsi" w:hAnsiTheme="majorHAnsi" w:cstheme="majorHAnsi"/>
      </w:rPr>
      <w:t xml:space="preserve">TB-DOC-SCM11 </w:t>
    </w:r>
    <w:r w:rsidR="00CE2E58">
      <w:rPr>
        <w:rFonts w:asciiTheme="majorHAnsi" w:hAnsiTheme="majorHAnsi" w:cstheme="majorHAnsi"/>
      </w:rPr>
      <w:t>V</w:t>
    </w:r>
    <w:r w:rsidR="002656E8">
      <w:rPr>
        <w:rFonts w:asciiTheme="majorHAnsi" w:hAnsiTheme="majorHAnsi" w:cstheme="majorHAnsi"/>
      </w:rPr>
      <w:t>9</w:t>
    </w:r>
    <w:r w:rsidRPr="00CE2E58">
      <w:rPr>
        <w:rFonts w:asciiTheme="majorHAnsi" w:hAnsiTheme="majorHAnsi" w:cstheme="majorHAnsi"/>
      </w:rPr>
      <w:t xml:space="preserve"> </w:t>
    </w:r>
    <w:r w:rsidR="002656E8">
      <w:rPr>
        <w:rFonts w:asciiTheme="majorHAnsi" w:hAnsiTheme="majorHAnsi" w:cstheme="majorHAnsi"/>
      </w:rPr>
      <w:t>31</w:t>
    </w:r>
    <w:r w:rsidRPr="00CE2E58">
      <w:rPr>
        <w:rFonts w:asciiTheme="majorHAnsi" w:hAnsiTheme="majorHAnsi" w:cstheme="majorHAnsi"/>
      </w:rPr>
      <w:t>/</w:t>
    </w:r>
    <w:r w:rsidR="002656E8">
      <w:rPr>
        <w:rFonts w:asciiTheme="majorHAnsi" w:hAnsiTheme="majorHAnsi" w:cstheme="majorHAnsi"/>
      </w:rPr>
      <w:t>10</w:t>
    </w:r>
    <w:r w:rsidRPr="00CE2E58">
      <w:rPr>
        <w:rFonts w:asciiTheme="majorHAnsi" w:hAnsiTheme="majorHAnsi" w:cstheme="majorHAnsi"/>
      </w:rPr>
      <w:t>/</w:t>
    </w:r>
    <w:r w:rsidR="00BF086A" w:rsidRPr="00CE2E58">
      <w:rPr>
        <w:rFonts w:asciiTheme="majorHAnsi" w:hAnsiTheme="majorHAnsi" w:cstheme="majorHAnsi"/>
      </w:rPr>
      <w:t>2</w:t>
    </w:r>
    <w:r w:rsidR="00CF5B35">
      <w:rPr>
        <w:rFonts w:asciiTheme="majorHAnsi" w:hAnsiTheme="majorHAnsi" w:cstheme="majorHAnsi"/>
      </w:rPr>
      <w:t>2</w:t>
    </w:r>
    <w:r w:rsidRPr="00CE2E58">
      <w:rPr>
        <w:rFonts w:asciiTheme="majorHAnsi" w:hAnsiTheme="majorHAnsi" w:cstheme="majorHAnsi"/>
      </w:rPr>
      <w:ptab w:relativeTo="margin" w:alignment="center" w:leader="none"/>
    </w:r>
    <w:r w:rsidRPr="00CE2E58">
      <w:rPr>
        <w:rFonts w:asciiTheme="majorHAnsi" w:hAnsiTheme="majorHAnsi" w:cstheme="majorHAnsi"/>
      </w:rPr>
      <w:ptab w:relativeTo="margin" w:alignment="right" w:leader="none"/>
    </w:r>
  </w:p>
  <w:p w14:paraId="1E89A98E" w14:textId="77777777" w:rsidR="00C76E94" w:rsidRDefault="00C76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22304"/>
    <w:multiLevelType w:val="multilevel"/>
    <w:tmpl w:val="0D666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E1A61"/>
    <w:multiLevelType w:val="hybridMultilevel"/>
    <w:tmpl w:val="409886A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74734D4"/>
    <w:multiLevelType w:val="multilevel"/>
    <w:tmpl w:val="F40A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B104F1"/>
    <w:multiLevelType w:val="multilevel"/>
    <w:tmpl w:val="6A74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E47D3"/>
    <w:multiLevelType w:val="hybridMultilevel"/>
    <w:tmpl w:val="850ED67E"/>
    <w:lvl w:ilvl="0" w:tplc="810641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55880"/>
    <w:multiLevelType w:val="multilevel"/>
    <w:tmpl w:val="E552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7857FD"/>
    <w:multiLevelType w:val="multilevel"/>
    <w:tmpl w:val="BF46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2B10CD"/>
    <w:multiLevelType w:val="hybridMultilevel"/>
    <w:tmpl w:val="581ED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42523F"/>
    <w:multiLevelType w:val="hybridMultilevel"/>
    <w:tmpl w:val="FDE25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444F4"/>
    <w:multiLevelType w:val="multilevel"/>
    <w:tmpl w:val="76E48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27123D"/>
    <w:multiLevelType w:val="multilevel"/>
    <w:tmpl w:val="AD669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8E0DBE"/>
    <w:multiLevelType w:val="multilevel"/>
    <w:tmpl w:val="C57C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1769F3"/>
    <w:multiLevelType w:val="hybridMultilevel"/>
    <w:tmpl w:val="B4907BB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3" w15:restartNumberingAfterBreak="0">
    <w:nsid w:val="5FEA720A"/>
    <w:multiLevelType w:val="hybridMultilevel"/>
    <w:tmpl w:val="7AAA6564"/>
    <w:lvl w:ilvl="0" w:tplc="A5A8CC68">
      <w:start w:val="1"/>
      <w:numFmt w:val="bullet"/>
      <w:lvlText w:val=""/>
      <w:lvlJc w:val="left"/>
      <w:pPr>
        <w:tabs>
          <w:tab w:val="num" w:pos="720"/>
        </w:tabs>
        <w:ind w:left="720" w:hanging="360"/>
      </w:pPr>
      <w:rPr>
        <w:rFonts w:ascii="Symbol" w:hAnsi="Symbol" w:hint="default"/>
        <w:sz w:val="20"/>
      </w:rPr>
    </w:lvl>
    <w:lvl w:ilvl="1" w:tplc="310C1DA4" w:tentative="1">
      <w:start w:val="1"/>
      <w:numFmt w:val="bullet"/>
      <w:lvlText w:val="o"/>
      <w:lvlJc w:val="left"/>
      <w:pPr>
        <w:tabs>
          <w:tab w:val="num" w:pos="1440"/>
        </w:tabs>
        <w:ind w:left="1440" w:hanging="360"/>
      </w:pPr>
      <w:rPr>
        <w:rFonts w:ascii="Courier New" w:hAnsi="Courier New" w:hint="default"/>
        <w:sz w:val="20"/>
      </w:rPr>
    </w:lvl>
    <w:lvl w:ilvl="2" w:tplc="686427A4" w:tentative="1">
      <w:start w:val="1"/>
      <w:numFmt w:val="bullet"/>
      <w:lvlText w:val=""/>
      <w:lvlJc w:val="left"/>
      <w:pPr>
        <w:tabs>
          <w:tab w:val="num" w:pos="2160"/>
        </w:tabs>
        <w:ind w:left="2160" w:hanging="360"/>
      </w:pPr>
      <w:rPr>
        <w:rFonts w:ascii="Wingdings" w:hAnsi="Wingdings" w:hint="default"/>
        <w:sz w:val="20"/>
      </w:rPr>
    </w:lvl>
    <w:lvl w:ilvl="3" w:tplc="027A491C" w:tentative="1">
      <w:start w:val="1"/>
      <w:numFmt w:val="bullet"/>
      <w:lvlText w:val=""/>
      <w:lvlJc w:val="left"/>
      <w:pPr>
        <w:tabs>
          <w:tab w:val="num" w:pos="2880"/>
        </w:tabs>
        <w:ind w:left="2880" w:hanging="360"/>
      </w:pPr>
      <w:rPr>
        <w:rFonts w:ascii="Wingdings" w:hAnsi="Wingdings" w:hint="default"/>
        <w:sz w:val="20"/>
      </w:rPr>
    </w:lvl>
    <w:lvl w:ilvl="4" w:tplc="3A58D086" w:tentative="1">
      <w:start w:val="1"/>
      <w:numFmt w:val="bullet"/>
      <w:lvlText w:val=""/>
      <w:lvlJc w:val="left"/>
      <w:pPr>
        <w:tabs>
          <w:tab w:val="num" w:pos="3600"/>
        </w:tabs>
        <w:ind w:left="3600" w:hanging="360"/>
      </w:pPr>
      <w:rPr>
        <w:rFonts w:ascii="Wingdings" w:hAnsi="Wingdings" w:hint="default"/>
        <w:sz w:val="20"/>
      </w:rPr>
    </w:lvl>
    <w:lvl w:ilvl="5" w:tplc="42482A70" w:tentative="1">
      <w:start w:val="1"/>
      <w:numFmt w:val="bullet"/>
      <w:lvlText w:val=""/>
      <w:lvlJc w:val="left"/>
      <w:pPr>
        <w:tabs>
          <w:tab w:val="num" w:pos="4320"/>
        </w:tabs>
        <w:ind w:left="4320" w:hanging="360"/>
      </w:pPr>
      <w:rPr>
        <w:rFonts w:ascii="Wingdings" w:hAnsi="Wingdings" w:hint="default"/>
        <w:sz w:val="20"/>
      </w:rPr>
    </w:lvl>
    <w:lvl w:ilvl="6" w:tplc="8C003ED0" w:tentative="1">
      <w:start w:val="1"/>
      <w:numFmt w:val="bullet"/>
      <w:lvlText w:val=""/>
      <w:lvlJc w:val="left"/>
      <w:pPr>
        <w:tabs>
          <w:tab w:val="num" w:pos="5040"/>
        </w:tabs>
        <w:ind w:left="5040" w:hanging="360"/>
      </w:pPr>
      <w:rPr>
        <w:rFonts w:ascii="Wingdings" w:hAnsi="Wingdings" w:hint="default"/>
        <w:sz w:val="20"/>
      </w:rPr>
    </w:lvl>
    <w:lvl w:ilvl="7" w:tplc="0A328382" w:tentative="1">
      <w:start w:val="1"/>
      <w:numFmt w:val="bullet"/>
      <w:lvlText w:val=""/>
      <w:lvlJc w:val="left"/>
      <w:pPr>
        <w:tabs>
          <w:tab w:val="num" w:pos="5760"/>
        </w:tabs>
        <w:ind w:left="5760" w:hanging="360"/>
      </w:pPr>
      <w:rPr>
        <w:rFonts w:ascii="Wingdings" w:hAnsi="Wingdings" w:hint="default"/>
        <w:sz w:val="20"/>
      </w:rPr>
    </w:lvl>
    <w:lvl w:ilvl="8" w:tplc="B73C0F1A"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351899"/>
    <w:multiLevelType w:val="hybridMultilevel"/>
    <w:tmpl w:val="B704AA1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765425"/>
    <w:multiLevelType w:val="hybridMultilevel"/>
    <w:tmpl w:val="9F121CFE"/>
    <w:lvl w:ilvl="0" w:tplc="5B4C065E">
      <w:start w:val="1"/>
      <w:numFmt w:val="bullet"/>
      <w:lvlText w:val=""/>
      <w:lvlJc w:val="left"/>
      <w:pPr>
        <w:tabs>
          <w:tab w:val="num" w:pos="720"/>
        </w:tabs>
        <w:ind w:left="720" w:hanging="360"/>
      </w:pPr>
      <w:rPr>
        <w:rFonts w:ascii="Symbol" w:hAnsi="Symbol" w:hint="default"/>
        <w:sz w:val="20"/>
      </w:rPr>
    </w:lvl>
    <w:lvl w:ilvl="1" w:tplc="C85C1A82" w:tentative="1">
      <w:start w:val="1"/>
      <w:numFmt w:val="bullet"/>
      <w:lvlText w:val=""/>
      <w:lvlJc w:val="left"/>
      <w:pPr>
        <w:tabs>
          <w:tab w:val="num" w:pos="1440"/>
        </w:tabs>
        <w:ind w:left="1440" w:hanging="360"/>
      </w:pPr>
      <w:rPr>
        <w:rFonts w:ascii="Symbol" w:hAnsi="Symbol" w:hint="default"/>
        <w:sz w:val="20"/>
      </w:rPr>
    </w:lvl>
    <w:lvl w:ilvl="2" w:tplc="4B9AE6D6" w:tentative="1">
      <w:start w:val="1"/>
      <w:numFmt w:val="bullet"/>
      <w:lvlText w:val=""/>
      <w:lvlJc w:val="left"/>
      <w:pPr>
        <w:tabs>
          <w:tab w:val="num" w:pos="2160"/>
        </w:tabs>
        <w:ind w:left="2160" w:hanging="360"/>
      </w:pPr>
      <w:rPr>
        <w:rFonts w:ascii="Symbol" w:hAnsi="Symbol" w:hint="default"/>
        <w:sz w:val="20"/>
      </w:rPr>
    </w:lvl>
    <w:lvl w:ilvl="3" w:tplc="3F1A5866" w:tentative="1">
      <w:start w:val="1"/>
      <w:numFmt w:val="bullet"/>
      <w:lvlText w:val=""/>
      <w:lvlJc w:val="left"/>
      <w:pPr>
        <w:tabs>
          <w:tab w:val="num" w:pos="2880"/>
        </w:tabs>
        <w:ind w:left="2880" w:hanging="360"/>
      </w:pPr>
      <w:rPr>
        <w:rFonts w:ascii="Symbol" w:hAnsi="Symbol" w:hint="default"/>
        <w:sz w:val="20"/>
      </w:rPr>
    </w:lvl>
    <w:lvl w:ilvl="4" w:tplc="947AA4B2" w:tentative="1">
      <w:start w:val="1"/>
      <w:numFmt w:val="bullet"/>
      <w:lvlText w:val=""/>
      <w:lvlJc w:val="left"/>
      <w:pPr>
        <w:tabs>
          <w:tab w:val="num" w:pos="3600"/>
        </w:tabs>
        <w:ind w:left="3600" w:hanging="360"/>
      </w:pPr>
      <w:rPr>
        <w:rFonts w:ascii="Symbol" w:hAnsi="Symbol" w:hint="default"/>
        <w:sz w:val="20"/>
      </w:rPr>
    </w:lvl>
    <w:lvl w:ilvl="5" w:tplc="DF9AD02E" w:tentative="1">
      <w:start w:val="1"/>
      <w:numFmt w:val="bullet"/>
      <w:lvlText w:val=""/>
      <w:lvlJc w:val="left"/>
      <w:pPr>
        <w:tabs>
          <w:tab w:val="num" w:pos="4320"/>
        </w:tabs>
        <w:ind w:left="4320" w:hanging="360"/>
      </w:pPr>
      <w:rPr>
        <w:rFonts w:ascii="Symbol" w:hAnsi="Symbol" w:hint="default"/>
        <w:sz w:val="20"/>
      </w:rPr>
    </w:lvl>
    <w:lvl w:ilvl="6" w:tplc="F05EFFF8" w:tentative="1">
      <w:start w:val="1"/>
      <w:numFmt w:val="bullet"/>
      <w:lvlText w:val=""/>
      <w:lvlJc w:val="left"/>
      <w:pPr>
        <w:tabs>
          <w:tab w:val="num" w:pos="5040"/>
        </w:tabs>
        <w:ind w:left="5040" w:hanging="360"/>
      </w:pPr>
      <w:rPr>
        <w:rFonts w:ascii="Symbol" w:hAnsi="Symbol" w:hint="default"/>
        <w:sz w:val="20"/>
      </w:rPr>
    </w:lvl>
    <w:lvl w:ilvl="7" w:tplc="589CDE3E" w:tentative="1">
      <w:start w:val="1"/>
      <w:numFmt w:val="bullet"/>
      <w:lvlText w:val=""/>
      <w:lvlJc w:val="left"/>
      <w:pPr>
        <w:tabs>
          <w:tab w:val="num" w:pos="5760"/>
        </w:tabs>
        <w:ind w:left="5760" w:hanging="360"/>
      </w:pPr>
      <w:rPr>
        <w:rFonts w:ascii="Symbol" w:hAnsi="Symbol" w:hint="default"/>
        <w:sz w:val="20"/>
      </w:rPr>
    </w:lvl>
    <w:lvl w:ilvl="8" w:tplc="74C40860"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684BA2"/>
    <w:multiLevelType w:val="hybridMultilevel"/>
    <w:tmpl w:val="82FE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731DDA"/>
    <w:multiLevelType w:val="hybridMultilevel"/>
    <w:tmpl w:val="FD1A7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714571">
    <w:abstractNumId w:val="9"/>
  </w:num>
  <w:num w:numId="2" w16cid:durableId="876161709">
    <w:abstractNumId w:val="6"/>
  </w:num>
  <w:num w:numId="3" w16cid:durableId="868375599">
    <w:abstractNumId w:val="13"/>
  </w:num>
  <w:num w:numId="4" w16cid:durableId="1808009286">
    <w:abstractNumId w:val="3"/>
  </w:num>
  <w:num w:numId="5" w16cid:durableId="1936202818">
    <w:abstractNumId w:val="11"/>
  </w:num>
  <w:num w:numId="6" w16cid:durableId="903293316">
    <w:abstractNumId w:val="2"/>
  </w:num>
  <w:num w:numId="7" w16cid:durableId="1147943134">
    <w:abstractNumId w:val="0"/>
  </w:num>
  <w:num w:numId="8" w16cid:durableId="1390955687">
    <w:abstractNumId w:val="10"/>
  </w:num>
  <w:num w:numId="9" w16cid:durableId="1053501044">
    <w:abstractNumId w:val="5"/>
  </w:num>
  <w:num w:numId="10" w16cid:durableId="788670246">
    <w:abstractNumId w:val="15"/>
  </w:num>
  <w:num w:numId="11" w16cid:durableId="139421314">
    <w:abstractNumId w:val="7"/>
  </w:num>
  <w:num w:numId="12" w16cid:durableId="1951625173">
    <w:abstractNumId w:val="4"/>
  </w:num>
  <w:num w:numId="13" w16cid:durableId="2137940493">
    <w:abstractNumId w:val="8"/>
  </w:num>
  <w:num w:numId="14" w16cid:durableId="2113280536">
    <w:abstractNumId w:val="17"/>
  </w:num>
  <w:num w:numId="15" w16cid:durableId="1539270195">
    <w:abstractNumId w:val="16"/>
  </w:num>
  <w:num w:numId="16" w16cid:durableId="1543783121">
    <w:abstractNumId w:val="14"/>
  </w:num>
  <w:num w:numId="17" w16cid:durableId="1388334405">
    <w:abstractNumId w:val="1"/>
  </w:num>
  <w:num w:numId="18" w16cid:durableId="1782265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3BF"/>
    <w:rsid w:val="00005451"/>
    <w:rsid w:val="000209AF"/>
    <w:rsid w:val="00022BDB"/>
    <w:rsid w:val="000234C9"/>
    <w:rsid w:val="00030287"/>
    <w:rsid w:val="00041095"/>
    <w:rsid w:val="000562CF"/>
    <w:rsid w:val="0005704D"/>
    <w:rsid w:val="00075D3F"/>
    <w:rsid w:val="00080A0A"/>
    <w:rsid w:val="00083601"/>
    <w:rsid w:val="000C2B0F"/>
    <w:rsid w:val="000C3EDF"/>
    <w:rsid w:val="000D165D"/>
    <w:rsid w:val="000E0850"/>
    <w:rsid w:val="000E1E6A"/>
    <w:rsid w:val="000F2850"/>
    <w:rsid w:val="000F73F1"/>
    <w:rsid w:val="00101FDC"/>
    <w:rsid w:val="001026E6"/>
    <w:rsid w:val="001078F2"/>
    <w:rsid w:val="00127917"/>
    <w:rsid w:val="00130121"/>
    <w:rsid w:val="001306BF"/>
    <w:rsid w:val="0014139B"/>
    <w:rsid w:val="00154183"/>
    <w:rsid w:val="001559DF"/>
    <w:rsid w:val="00164366"/>
    <w:rsid w:val="001649C8"/>
    <w:rsid w:val="001653B5"/>
    <w:rsid w:val="00171D73"/>
    <w:rsid w:val="00195208"/>
    <w:rsid w:val="001B6E6A"/>
    <w:rsid w:val="001D1392"/>
    <w:rsid w:val="00216A48"/>
    <w:rsid w:val="002201F0"/>
    <w:rsid w:val="00243943"/>
    <w:rsid w:val="00247DDB"/>
    <w:rsid w:val="0025459B"/>
    <w:rsid w:val="002656E8"/>
    <w:rsid w:val="0028136D"/>
    <w:rsid w:val="002956B6"/>
    <w:rsid w:val="0029746C"/>
    <w:rsid w:val="002A47E1"/>
    <w:rsid w:val="002C2593"/>
    <w:rsid w:val="002C4E3F"/>
    <w:rsid w:val="002D4858"/>
    <w:rsid w:val="002D6B04"/>
    <w:rsid w:val="002F10F1"/>
    <w:rsid w:val="002F55C3"/>
    <w:rsid w:val="0031397A"/>
    <w:rsid w:val="00316F25"/>
    <w:rsid w:val="003317E6"/>
    <w:rsid w:val="003349A4"/>
    <w:rsid w:val="00375167"/>
    <w:rsid w:val="003808AA"/>
    <w:rsid w:val="00384857"/>
    <w:rsid w:val="003C142A"/>
    <w:rsid w:val="003C6A34"/>
    <w:rsid w:val="003F1788"/>
    <w:rsid w:val="003F76CE"/>
    <w:rsid w:val="00400FCE"/>
    <w:rsid w:val="00411FE3"/>
    <w:rsid w:val="00436D8A"/>
    <w:rsid w:val="00445EA7"/>
    <w:rsid w:val="00466956"/>
    <w:rsid w:val="004724AA"/>
    <w:rsid w:val="004747C5"/>
    <w:rsid w:val="004860D8"/>
    <w:rsid w:val="004C63DE"/>
    <w:rsid w:val="004E6BA4"/>
    <w:rsid w:val="004F7050"/>
    <w:rsid w:val="004F7AFD"/>
    <w:rsid w:val="00504D47"/>
    <w:rsid w:val="00524DA2"/>
    <w:rsid w:val="0053748B"/>
    <w:rsid w:val="00541D09"/>
    <w:rsid w:val="00562EF0"/>
    <w:rsid w:val="00564E46"/>
    <w:rsid w:val="005714F9"/>
    <w:rsid w:val="005A113A"/>
    <w:rsid w:val="005C2459"/>
    <w:rsid w:val="005D0486"/>
    <w:rsid w:val="005D611A"/>
    <w:rsid w:val="005F0D54"/>
    <w:rsid w:val="00626936"/>
    <w:rsid w:val="0064195F"/>
    <w:rsid w:val="006449A7"/>
    <w:rsid w:val="00647C3E"/>
    <w:rsid w:val="00677849"/>
    <w:rsid w:val="0068080D"/>
    <w:rsid w:val="00680994"/>
    <w:rsid w:val="00684BE2"/>
    <w:rsid w:val="006869B8"/>
    <w:rsid w:val="006A27F4"/>
    <w:rsid w:val="006D3BD4"/>
    <w:rsid w:val="006E6A45"/>
    <w:rsid w:val="006F741E"/>
    <w:rsid w:val="00701A3F"/>
    <w:rsid w:val="00724687"/>
    <w:rsid w:val="00760AC7"/>
    <w:rsid w:val="0077469D"/>
    <w:rsid w:val="007759A6"/>
    <w:rsid w:val="00784581"/>
    <w:rsid w:val="007905EF"/>
    <w:rsid w:val="007A0A41"/>
    <w:rsid w:val="007C49D0"/>
    <w:rsid w:val="007F4364"/>
    <w:rsid w:val="007F6926"/>
    <w:rsid w:val="00801BC1"/>
    <w:rsid w:val="0080320A"/>
    <w:rsid w:val="008176A2"/>
    <w:rsid w:val="00843B01"/>
    <w:rsid w:val="008448A5"/>
    <w:rsid w:val="0085058B"/>
    <w:rsid w:val="0086163E"/>
    <w:rsid w:val="00861E73"/>
    <w:rsid w:val="00864495"/>
    <w:rsid w:val="008719BB"/>
    <w:rsid w:val="00883874"/>
    <w:rsid w:val="00892BAA"/>
    <w:rsid w:val="0089462F"/>
    <w:rsid w:val="00895800"/>
    <w:rsid w:val="008C22F6"/>
    <w:rsid w:val="008D3C5B"/>
    <w:rsid w:val="008D4878"/>
    <w:rsid w:val="008E341E"/>
    <w:rsid w:val="008E3C9D"/>
    <w:rsid w:val="008F7404"/>
    <w:rsid w:val="00901138"/>
    <w:rsid w:val="009316ED"/>
    <w:rsid w:val="0094792D"/>
    <w:rsid w:val="0095314A"/>
    <w:rsid w:val="00954F9F"/>
    <w:rsid w:val="0096440F"/>
    <w:rsid w:val="009831E6"/>
    <w:rsid w:val="00985774"/>
    <w:rsid w:val="009A4CCA"/>
    <w:rsid w:val="009B2858"/>
    <w:rsid w:val="009F441A"/>
    <w:rsid w:val="00A1431D"/>
    <w:rsid w:val="00A31A81"/>
    <w:rsid w:val="00A7475F"/>
    <w:rsid w:val="00A81F57"/>
    <w:rsid w:val="00A85F95"/>
    <w:rsid w:val="00A86B39"/>
    <w:rsid w:val="00A92BCA"/>
    <w:rsid w:val="00AB131B"/>
    <w:rsid w:val="00AB48B0"/>
    <w:rsid w:val="00AB75AD"/>
    <w:rsid w:val="00AE1504"/>
    <w:rsid w:val="00AE4121"/>
    <w:rsid w:val="00AF4D6C"/>
    <w:rsid w:val="00B05AAB"/>
    <w:rsid w:val="00B06DE3"/>
    <w:rsid w:val="00B10252"/>
    <w:rsid w:val="00B11242"/>
    <w:rsid w:val="00B20845"/>
    <w:rsid w:val="00B213E6"/>
    <w:rsid w:val="00B446DC"/>
    <w:rsid w:val="00B44AAE"/>
    <w:rsid w:val="00B54A55"/>
    <w:rsid w:val="00B563C2"/>
    <w:rsid w:val="00B62D2A"/>
    <w:rsid w:val="00B67E08"/>
    <w:rsid w:val="00B73964"/>
    <w:rsid w:val="00B765B6"/>
    <w:rsid w:val="00B95290"/>
    <w:rsid w:val="00BD32D6"/>
    <w:rsid w:val="00BF086A"/>
    <w:rsid w:val="00C00F2D"/>
    <w:rsid w:val="00C07A36"/>
    <w:rsid w:val="00C30193"/>
    <w:rsid w:val="00C42358"/>
    <w:rsid w:val="00C42821"/>
    <w:rsid w:val="00C500CA"/>
    <w:rsid w:val="00C55A73"/>
    <w:rsid w:val="00C66F77"/>
    <w:rsid w:val="00C7037C"/>
    <w:rsid w:val="00C76E94"/>
    <w:rsid w:val="00C85362"/>
    <w:rsid w:val="00CA0CFD"/>
    <w:rsid w:val="00CB60F1"/>
    <w:rsid w:val="00CC4F49"/>
    <w:rsid w:val="00CE2E58"/>
    <w:rsid w:val="00CE4955"/>
    <w:rsid w:val="00CF5B35"/>
    <w:rsid w:val="00D01CD1"/>
    <w:rsid w:val="00D2624C"/>
    <w:rsid w:val="00D279AA"/>
    <w:rsid w:val="00D32193"/>
    <w:rsid w:val="00D32E95"/>
    <w:rsid w:val="00D4424D"/>
    <w:rsid w:val="00D537B8"/>
    <w:rsid w:val="00D677BA"/>
    <w:rsid w:val="00D713FE"/>
    <w:rsid w:val="00D71533"/>
    <w:rsid w:val="00D86D91"/>
    <w:rsid w:val="00DD035A"/>
    <w:rsid w:val="00DD2464"/>
    <w:rsid w:val="00DD2F37"/>
    <w:rsid w:val="00DD509C"/>
    <w:rsid w:val="00DF3C7B"/>
    <w:rsid w:val="00E017C2"/>
    <w:rsid w:val="00E065AE"/>
    <w:rsid w:val="00E23662"/>
    <w:rsid w:val="00E34CFC"/>
    <w:rsid w:val="00E4354F"/>
    <w:rsid w:val="00E73945"/>
    <w:rsid w:val="00E763BF"/>
    <w:rsid w:val="00E920E1"/>
    <w:rsid w:val="00E93C5E"/>
    <w:rsid w:val="00EA42E8"/>
    <w:rsid w:val="00EC107C"/>
    <w:rsid w:val="00EC1157"/>
    <w:rsid w:val="00F03C0E"/>
    <w:rsid w:val="00F25E96"/>
    <w:rsid w:val="00F27C8A"/>
    <w:rsid w:val="00F470CE"/>
    <w:rsid w:val="00F52837"/>
    <w:rsid w:val="00F53636"/>
    <w:rsid w:val="00F55D3E"/>
    <w:rsid w:val="00F6441F"/>
    <w:rsid w:val="00F71977"/>
    <w:rsid w:val="00F76488"/>
    <w:rsid w:val="00F95C37"/>
    <w:rsid w:val="00FA4E94"/>
    <w:rsid w:val="00FA50CF"/>
    <w:rsid w:val="00FA72C1"/>
    <w:rsid w:val="00FC0A8C"/>
    <w:rsid w:val="00FD304E"/>
    <w:rsid w:val="00FD446E"/>
    <w:rsid w:val="00FD76BD"/>
    <w:rsid w:val="07A189F8"/>
    <w:rsid w:val="0C30042C"/>
    <w:rsid w:val="166AC4AC"/>
    <w:rsid w:val="17F04164"/>
    <w:rsid w:val="183DCEAD"/>
    <w:rsid w:val="206E16EA"/>
    <w:rsid w:val="24CFB0BF"/>
    <w:rsid w:val="2813EF18"/>
    <w:rsid w:val="29E930E7"/>
    <w:rsid w:val="331083EF"/>
    <w:rsid w:val="367BC778"/>
    <w:rsid w:val="38546F6C"/>
    <w:rsid w:val="3C3C0B22"/>
    <w:rsid w:val="410F7C45"/>
    <w:rsid w:val="421D3DCD"/>
    <w:rsid w:val="44092A6A"/>
    <w:rsid w:val="4956B685"/>
    <w:rsid w:val="51AE7A0E"/>
    <w:rsid w:val="5B062082"/>
    <w:rsid w:val="5BD55B16"/>
    <w:rsid w:val="5CD9C842"/>
    <w:rsid w:val="62BC2C84"/>
    <w:rsid w:val="6CB6F887"/>
    <w:rsid w:val="6F4096FC"/>
    <w:rsid w:val="793A83DA"/>
    <w:rsid w:val="7D9AB2B1"/>
    <w:rsid w:val="7DA1C2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946819"/>
  <w14:defaultImageDpi w14:val="300"/>
  <w15:docId w15:val="{525C7FA3-F543-43FF-ACF5-639722FB0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3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1157"/>
    <w:rPr>
      <w:rFonts w:ascii="Lucida Grande" w:hAnsi="Lucida Grande" w:cs="Lucida Grande"/>
      <w:sz w:val="18"/>
      <w:szCs w:val="18"/>
    </w:rPr>
  </w:style>
  <w:style w:type="paragraph" w:styleId="NormalWeb">
    <w:name w:val="Normal (Web)"/>
    <w:basedOn w:val="Normal"/>
    <w:uiPriority w:val="99"/>
    <w:unhideWhenUsed/>
    <w:rsid w:val="008E341E"/>
    <w:pPr>
      <w:spacing w:before="100" w:beforeAutospacing="1" w:after="100" w:afterAutospacing="1"/>
    </w:pPr>
    <w:rPr>
      <w:rFonts w:ascii="Times" w:hAnsi="Times" w:cs="Times New Roman"/>
      <w:sz w:val="20"/>
      <w:szCs w:val="20"/>
      <w:lang w:val="en-GB"/>
    </w:rPr>
  </w:style>
  <w:style w:type="paragraph" w:styleId="ListParagraph">
    <w:name w:val="List Paragraph"/>
    <w:basedOn w:val="Normal"/>
    <w:uiPriority w:val="34"/>
    <w:qFormat/>
    <w:rsid w:val="008E341E"/>
    <w:pPr>
      <w:ind w:left="720"/>
      <w:contextualSpacing/>
    </w:pPr>
  </w:style>
  <w:style w:type="paragraph" w:styleId="Footer">
    <w:name w:val="footer"/>
    <w:basedOn w:val="Normal"/>
    <w:link w:val="FooterChar"/>
    <w:uiPriority w:val="99"/>
    <w:unhideWhenUsed/>
    <w:rsid w:val="00626936"/>
    <w:pPr>
      <w:tabs>
        <w:tab w:val="center" w:pos="4320"/>
        <w:tab w:val="right" w:pos="8640"/>
      </w:tabs>
    </w:pPr>
  </w:style>
  <w:style w:type="character" w:customStyle="1" w:styleId="FooterChar">
    <w:name w:val="Footer Char"/>
    <w:basedOn w:val="DefaultParagraphFont"/>
    <w:link w:val="Footer"/>
    <w:uiPriority w:val="99"/>
    <w:rsid w:val="00626936"/>
  </w:style>
  <w:style w:type="character" w:styleId="PageNumber">
    <w:name w:val="page number"/>
    <w:basedOn w:val="DefaultParagraphFont"/>
    <w:uiPriority w:val="99"/>
    <w:semiHidden/>
    <w:unhideWhenUsed/>
    <w:rsid w:val="00626936"/>
  </w:style>
  <w:style w:type="character" w:styleId="Hyperlink">
    <w:name w:val="Hyperlink"/>
    <w:basedOn w:val="DefaultParagraphFont"/>
    <w:uiPriority w:val="99"/>
    <w:unhideWhenUsed/>
    <w:rsid w:val="00626936"/>
    <w:rPr>
      <w:color w:val="0000FF" w:themeColor="hyperlink"/>
      <w:u w:val="single"/>
    </w:rPr>
  </w:style>
  <w:style w:type="paragraph" w:styleId="Header">
    <w:name w:val="header"/>
    <w:basedOn w:val="Normal"/>
    <w:link w:val="HeaderChar"/>
    <w:uiPriority w:val="99"/>
    <w:unhideWhenUsed/>
    <w:rsid w:val="00626936"/>
    <w:pPr>
      <w:tabs>
        <w:tab w:val="center" w:pos="4320"/>
        <w:tab w:val="right" w:pos="8640"/>
      </w:tabs>
    </w:pPr>
  </w:style>
  <w:style w:type="character" w:customStyle="1" w:styleId="HeaderChar">
    <w:name w:val="Header Char"/>
    <w:basedOn w:val="DefaultParagraphFont"/>
    <w:link w:val="Header"/>
    <w:uiPriority w:val="99"/>
    <w:rsid w:val="00626936"/>
  </w:style>
  <w:style w:type="character" w:customStyle="1" w:styleId="apple-converted-space">
    <w:name w:val="apple-converted-space"/>
    <w:basedOn w:val="DefaultParagraphFont"/>
    <w:rsid w:val="00F03C0E"/>
  </w:style>
  <w:style w:type="character" w:styleId="UnresolvedMention">
    <w:name w:val="Unresolved Mention"/>
    <w:basedOn w:val="DefaultParagraphFont"/>
    <w:uiPriority w:val="99"/>
    <w:semiHidden/>
    <w:unhideWhenUsed/>
    <w:rsid w:val="00B446DC"/>
    <w:rPr>
      <w:color w:val="808080"/>
      <w:shd w:val="clear" w:color="auto" w:fill="E6E6E6"/>
    </w:rPr>
  </w:style>
  <w:style w:type="character" w:styleId="FollowedHyperlink">
    <w:name w:val="FollowedHyperlink"/>
    <w:basedOn w:val="DefaultParagraphFont"/>
    <w:uiPriority w:val="99"/>
    <w:semiHidden/>
    <w:unhideWhenUsed/>
    <w:rsid w:val="00E34C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69376">
      <w:bodyDiv w:val="1"/>
      <w:marLeft w:val="0"/>
      <w:marRight w:val="0"/>
      <w:marTop w:val="0"/>
      <w:marBottom w:val="0"/>
      <w:divBdr>
        <w:top w:val="none" w:sz="0" w:space="0" w:color="auto"/>
        <w:left w:val="none" w:sz="0" w:space="0" w:color="auto"/>
        <w:bottom w:val="none" w:sz="0" w:space="0" w:color="auto"/>
        <w:right w:val="none" w:sz="0" w:space="0" w:color="auto"/>
      </w:divBdr>
    </w:div>
    <w:div w:id="522590587">
      <w:bodyDiv w:val="1"/>
      <w:marLeft w:val="0"/>
      <w:marRight w:val="0"/>
      <w:marTop w:val="0"/>
      <w:marBottom w:val="0"/>
      <w:divBdr>
        <w:top w:val="none" w:sz="0" w:space="0" w:color="auto"/>
        <w:left w:val="none" w:sz="0" w:space="0" w:color="auto"/>
        <w:bottom w:val="none" w:sz="0" w:space="0" w:color="auto"/>
        <w:right w:val="none" w:sz="0" w:space="0" w:color="auto"/>
      </w:divBdr>
    </w:div>
    <w:div w:id="742531415">
      <w:bodyDiv w:val="1"/>
      <w:marLeft w:val="0"/>
      <w:marRight w:val="0"/>
      <w:marTop w:val="0"/>
      <w:marBottom w:val="0"/>
      <w:divBdr>
        <w:top w:val="none" w:sz="0" w:space="0" w:color="auto"/>
        <w:left w:val="none" w:sz="0" w:space="0" w:color="auto"/>
        <w:bottom w:val="none" w:sz="0" w:space="0" w:color="auto"/>
        <w:right w:val="none" w:sz="0" w:space="0" w:color="auto"/>
      </w:divBdr>
      <w:divsChild>
        <w:div w:id="639531104">
          <w:marLeft w:val="0"/>
          <w:marRight w:val="0"/>
          <w:marTop w:val="0"/>
          <w:marBottom w:val="0"/>
          <w:divBdr>
            <w:top w:val="none" w:sz="0" w:space="0" w:color="auto"/>
            <w:left w:val="none" w:sz="0" w:space="0" w:color="auto"/>
            <w:bottom w:val="none" w:sz="0" w:space="0" w:color="auto"/>
            <w:right w:val="none" w:sz="0" w:space="0" w:color="auto"/>
          </w:divBdr>
          <w:divsChild>
            <w:div w:id="1414158363">
              <w:marLeft w:val="0"/>
              <w:marRight w:val="0"/>
              <w:marTop w:val="0"/>
              <w:marBottom w:val="0"/>
              <w:divBdr>
                <w:top w:val="none" w:sz="0" w:space="0" w:color="auto"/>
                <w:left w:val="none" w:sz="0" w:space="0" w:color="auto"/>
                <w:bottom w:val="none" w:sz="0" w:space="0" w:color="auto"/>
                <w:right w:val="none" w:sz="0" w:space="0" w:color="auto"/>
              </w:divBdr>
              <w:divsChild>
                <w:div w:id="2074427075">
                  <w:marLeft w:val="0"/>
                  <w:marRight w:val="0"/>
                  <w:marTop w:val="0"/>
                  <w:marBottom w:val="0"/>
                  <w:divBdr>
                    <w:top w:val="none" w:sz="0" w:space="0" w:color="auto"/>
                    <w:left w:val="none" w:sz="0" w:space="0" w:color="auto"/>
                    <w:bottom w:val="none" w:sz="0" w:space="0" w:color="auto"/>
                    <w:right w:val="none" w:sz="0" w:space="0" w:color="auto"/>
                  </w:divBdr>
                </w:div>
              </w:divsChild>
            </w:div>
            <w:div w:id="1506166565">
              <w:marLeft w:val="0"/>
              <w:marRight w:val="0"/>
              <w:marTop w:val="0"/>
              <w:marBottom w:val="0"/>
              <w:divBdr>
                <w:top w:val="none" w:sz="0" w:space="0" w:color="auto"/>
                <w:left w:val="none" w:sz="0" w:space="0" w:color="auto"/>
                <w:bottom w:val="none" w:sz="0" w:space="0" w:color="auto"/>
                <w:right w:val="none" w:sz="0" w:space="0" w:color="auto"/>
              </w:divBdr>
              <w:divsChild>
                <w:div w:id="937786989">
                  <w:marLeft w:val="0"/>
                  <w:marRight w:val="0"/>
                  <w:marTop w:val="0"/>
                  <w:marBottom w:val="0"/>
                  <w:divBdr>
                    <w:top w:val="none" w:sz="0" w:space="0" w:color="auto"/>
                    <w:left w:val="none" w:sz="0" w:space="0" w:color="auto"/>
                    <w:bottom w:val="none" w:sz="0" w:space="0" w:color="auto"/>
                    <w:right w:val="none" w:sz="0" w:space="0" w:color="auto"/>
                  </w:divBdr>
                </w:div>
              </w:divsChild>
            </w:div>
            <w:div w:id="1580098033">
              <w:marLeft w:val="0"/>
              <w:marRight w:val="0"/>
              <w:marTop w:val="0"/>
              <w:marBottom w:val="0"/>
              <w:divBdr>
                <w:top w:val="none" w:sz="0" w:space="0" w:color="auto"/>
                <w:left w:val="none" w:sz="0" w:space="0" w:color="auto"/>
                <w:bottom w:val="none" w:sz="0" w:space="0" w:color="auto"/>
                <w:right w:val="none" w:sz="0" w:space="0" w:color="auto"/>
              </w:divBdr>
              <w:divsChild>
                <w:div w:id="91817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4916">
          <w:marLeft w:val="0"/>
          <w:marRight w:val="0"/>
          <w:marTop w:val="0"/>
          <w:marBottom w:val="0"/>
          <w:divBdr>
            <w:top w:val="none" w:sz="0" w:space="0" w:color="auto"/>
            <w:left w:val="none" w:sz="0" w:space="0" w:color="auto"/>
            <w:bottom w:val="none" w:sz="0" w:space="0" w:color="auto"/>
            <w:right w:val="none" w:sz="0" w:space="0" w:color="auto"/>
          </w:divBdr>
          <w:divsChild>
            <w:div w:id="304773535">
              <w:marLeft w:val="0"/>
              <w:marRight w:val="0"/>
              <w:marTop w:val="0"/>
              <w:marBottom w:val="0"/>
              <w:divBdr>
                <w:top w:val="none" w:sz="0" w:space="0" w:color="auto"/>
                <w:left w:val="none" w:sz="0" w:space="0" w:color="auto"/>
                <w:bottom w:val="none" w:sz="0" w:space="0" w:color="auto"/>
                <w:right w:val="none" w:sz="0" w:space="0" w:color="auto"/>
              </w:divBdr>
              <w:divsChild>
                <w:div w:id="1022130628">
                  <w:marLeft w:val="0"/>
                  <w:marRight w:val="0"/>
                  <w:marTop w:val="0"/>
                  <w:marBottom w:val="0"/>
                  <w:divBdr>
                    <w:top w:val="none" w:sz="0" w:space="0" w:color="auto"/>
                    <w:left w:val="none" w:sz="0" w:space="0" w:color="auto"/>
                    <w:bottom w:val="none" w:sz="0" w:space="0" w:color="auto"/>
                    <w:right w:val="none" w:sz="0" w:space="0" w:color="auto"/>
                  </w:divBdr>
                </w:div>
              </w:divsChild>
            </w:div>
            <w:div w:id="377512807">
              <w:marLeft w:val="0"/>
              <w:marRight w:val="0"/>
              <w:marTop w:val="0"/>
              <w:marBottom w:val="0"/>
              <w:divBdr>
                <w:top w:val="none" w:sz="0" w:space="0" w:color="auto"/>
                <w:left w:val="none" w:sz="0" w:space="0" w:color="auto"/>
                <w:bottom w:val="none" w:sz="0" w:space="0" w:color="auto"/>
                <w:right w:val="none" w:sz="0" w:space="0" w:color="auto"/>
              </w:divBdr>
              <w:divsChild>
                <w:div w:id="1657804222">
                  <w:marLeft w:val="0"/>
                  <w:marRight w:val="0"/>
                  <w:marTop w:val="0"/>
                  <w:marBottom w:val="0"/>
                  <w:divBdr>
                    <w:top w:val="none" w:sz="0" w:space="0" w:color="auto"/>
                    <w:left w:val="none" w:sz="0" w:space="0" w:color="auto"/>
                    <w:bottom w:val="none" w:sz="0" w:space="0" w:color="auto"/>
                    <w:right w:val="none" w:sz="0" w:space="0" w:color="auto"/>
                  </w:divBdr>
                </w:div>
              </w:divsChild>
            </w:div>
            <w:div w:id="1707561130">
              <w:marLeft w:val="0"/>
              <w:marRight w:val="0"/>
              <w:marTop w:val="0"/>
              <w:marBottom w:val="0"/>
              <w:divBdr>
                <w:top w:val="none" w:sz="0" w:space="0" w:color="auto"/>
                <w:left w:val="none" w:sz="0" w:space="0" w:color="auto"/>
                <w:bottom w:val="none" w:sz="0" w:space="0" w:color="auto"/>
                <w:right w:val="none" w:sz="0" w:space="0" w:color="auto"/>
              </w:divBdr>
              <w:divsChild>
                <w:div w:id="28273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409224">
          <w:marLeft w:val="0"/>
          <w:marRight w:val="0"/>
          <w:marTop w:val="0"/>
          <w:marBottom w:val="0"/>
          <w:divBdr>
            <w:top w:val="none" w:sz="0" w:space="0" w:color="auto"/>
            <w:left w:val="none" w:sz="0" w:space="0" w:color="auto"/>
            <w:bottom w:val="none" w:sz="0" w:space="0" w:color="auto"/>
            <w:right w:val="none" w:sz="0" w:space="0" w:color="auto"/>
          </w:divBdr>
          <w:divsChild>
            <w:div w:id="158928844">
              <w:marLeft w:val="0"/>
              <w:marRight w:val="0"/>
              <w:marTop w:val="0"/>
              <w:marBottom w:val="0"/>
              <w:divBdr>
                <w:top w:val="none" w:sz="0" w:space="0" w:color="auto"/>
                <w:left w:val="none" w:sz="0" w:space="0" w:color="auto"/>
                <w:bottom w:val="none" w:sz="0" w:space="0" w:color="auto"/>
                <w:right w:val="none" w:sz="0" w:space="0" w:color="auto"/>
              </w:divBdr>
              <w:divsChild>
                <w:div w:id="605894093">
                  <w:marLeft w:val="0"/>
                  <w:marRight w:val="0"/>
                  <w:marTop w:val="0"/>
                  <w:marBottom w:val="0"/>
                  <w:divBdr>
                    <w:top w:val="none" w:sz="0" w:space="0" w:color="auto"/>
                    <w:left w:val="none" w:sz="0" w:space="0" w:color="auto"/>
                    <w:bottom w:val="none" w:sz="0" w:space="0" w:color="auto"/>
                    <w:right w:val="none" w:sz="0" w:space="0" w:color="auto"/>
                  </w:divBdr>
                </w:div>
              </w:divsChild>
            </w:div>
            <w:div w:id="369652139">
              <w:marLeft w:val="0"/>
              <w:marRight w:val="0"/>
              <w:marTop w:val="0"/>
              <w:marBottom w:val="0"/>
              <w:divBdr>
                <w:top w:val="none" w:sz="0" w:space="0" w:color="auto"/>
                <w:left w:val="none" w:sz="0" w:space="0" w:color="auto"/>
                <w:bottom w:val="none" w:sz="0" w:space="0" w:color="auto"/>
                <w:right w:val="none" w:sz="0" w:space="0" w:color="auto"/>
              </w:divBdr>
              <w:divsChild>
                <w:div w:id="1075318238">
                  <w:marLeft w:val="0"/>
                  <w:marRight w:val="0"/>
                  <w:marTop w:val="0"/>
                  <w:marBottom w:val="0"/>
                  <w:divBdr>
                    <w:top w:val="none" w:sz="0" w:space="0" w:color="auto"/>
                    <w:left w:val="none" w:sz="0" w:space="0" w:color="auto"/>
                    <w:bottom w:val="none" w:sz="0" w:space="0" w:color="auto"/>
                    <w:right w:val="none" w:sz="0" w:space="0" w:color="auto"/>
                  </w:divBdr>
                </w:div>
              </w:divsChild>
            </w:div>
            <w:div w:id="471796729">
              <w:marLeft w:val="0"/>
              <w:marRight w:val="0"/>
              <w:marTop w:val="0"/>
              <w:marBottom w:val="0"/>
              <w:divBdr>
                <w:top w:val="none" w:sz="0" w:space="0" w:color="auto"/>
                <w:left w:val="none" w:sz="0" w:space="0" w:color="auto"/>
                <w:bottom w:val="none" w:sz="0" w:space="0" w:color="auto"/>
                <w:right w:val="none" w:sz="0" w:space="0" w:color="auto"/>
              </w:divBdr>
              <w:divsChild>
                <w:div w:id="168373829">
                  <w:marLeft w:val="0"/>
                  <w:marRight w:val="0"/>
                  <w:marTop w:val="0"/>
                  <w:marBottom w:val="0"/>
                  <w:divBdr>
                    <w:top w:val="none" w:sz="0" w:space="0" w:color="auto"/>
                    <w:left w:val="none" w:sz="0" w:space="0" w:color="auto"/>
                    <w:bottom w:val="none" w:sz="0" w:space="0" w:color="auto"/>
                    <w:right w:val="none" w:sz="0" w:space="0" w:color="auto"/>
                  </w:divBdr>
                </w:div>
              </w:divsChild>
            </w:div>
            <w:div w:id="1141850164">
              <w:marLeft w:val="0"/>
              <w:marRight w:val="0"/>
              <w:marTop w:val="0"/>
              <w:marBottom w:val="0"/>
              <w:divBdr>
                <w:top w:val="none" w:sz="0" w:space="0" w:color="auto"/>
                <w:left w:val="none" w:sz="0" w:space="0" w:color="auto"/>
                <w:bottom w:val="none" w:sz="0" w:space="0" w:color="auto"/>
                <w:right w:val="none" w:sz="0" w:space="0" w:color="auto"/>
              </w:divBdr>
              <w:divsChild>
                <w:div w:id="512652691">
                  <w:marLeft w:val="0"/>
                  <w:marRight w:val="0"/>
                  <w:marTop w:val="0"/>
                  <w:marBottom w:val="0"/>
                  <w:divBdr>
                    <w:top w:val="none" w:sz="0" w:space="0" w:color="auto"/>
                    <w:left w:val="none" w:sz="0" w:space="0" w:color="auto"/>
                    <w:bottom w:val="none" w:sz="0" w:space="0" w:color="auto"/>
                    <w:right w:val="none" w:sz="0" w:space="0" w:color="auto"/>
                  </w:divBdr>
                </w:div>
              </w:divsChild>
            </w:div>
            <w:div w:id="1201935456">
              <w:marLeft w:val="0"/>
              <w:marRight w:val="0"/>
              <w:marTop w:val="0"/>
              <w:marBottom w:val="0"/>
              <w:divBdr>
                <w:top w:val="none" w:sz="0" w:space="0" w:color="auto"/>
                <w:left w:val="none" w:sz="0" w:space="0" w:color="auto"/>
                <w:bottom w:val="none" w:sz="0" w:space="0" w:color="auto"/>
                <w:right w:val="none" w:sz="0" w:space="0" w:color="auto"/>
              </w:divBdr>
              <w:divsChild>
                <w:div w:id="1605117473">
                  <w:marLeft w:val="0"/>
                  <w:marRight w:val="0"/>
                  <w:marTop w:val="0"/>
                  <w:marBottom w:val="0"/>
                  <w:divBdr>
                    <w:top w:val="none" w:sz="0" w:space="0" w:color="auto"/>
                    <w:left w:val="none" w:sz="0" w:space="0" w:color="auto"/>
                    <w:bottom w:val="none" w:sz="0" w:space="0" w:color="auto"/>
                    <w:right w:val="none" w:sz="0" w:space="0" w:color="auto"/>
                  </w:divBdr>
                </w:div>
              </w:divsChild>
            </w:div>
            <w:div w:id="1266111451">
              <w:marLeft w:val="0"/>
              <w:marRight w:val="0"/>
              <w:marTop w:val="0"/>
              <w:marBottom w:val="0"/>
              <w:divBdr>
                <w:top w:val="none" w:sz="0" w:space="0" w:color="auto"/>
                <w:left w:val="none" w:sz="0" w:space="0" w:color="auto"/>
                <w:bottom w:val="none" w:sz="0" w:space="0" w:color="auto"/>
                <w:right w:val="none" w:sz="0" w:space="0" w:color="auto"/>
              </w:divBdr>
              <w:divsChild>
                <w:div w:id="2079665894">
                  <w:marLeft w:val="0"/>
                  <w:marRight w:val="0"/>
                  <w:marTop w:val="0"/>
                  <w:marBottom w:val="0"/>
                  <w:divBdr>
                    <w:top w:val="none" w:sz="0" w:space="0" w:color="auto"/>
                    <w:left w:val="none" w:sz="0" w:space="0" w:color="auto"/>
                    <w:bottom w:val="none" w:sz="0" w:space="0" w:color="auto"/>
                    <w:right w:val="none" w:sz="0" w:space="0" w:color="auto"/>
                  </w:divBdr>
                </w:div>
              </w:divsChild>
            </w:div>
            <w:div w:id="1269510397">
              <w:marLeft w:val="0"/>
              <w:marRight w:val="0"/>
              <w:marTop w:val="0"/>
              <w:marBottom w:val="0"/>
              <w:divBdr>
                <w:top w:val="none" w:sz="0" w:space="0" w:color="auto"/>
                <w:left w:val="none" w:sz="0" w:space="0" w:color="auto"/>
                <w:bottom w:val="none" w:sz="0" w:space="0" w:color="auto"/>
                <w:right w:val="none" w:sz="0" w:space="0" w:color="auto"/>
              </w:divBdr>
              <w:divsChild>
                <w:div w:id="28338555">
                  <w:marLeft w:val="0"/>
                  <w:marRight w:val="0"/>
                  <w:marTop w:val="0"/>
                  <w:marBottom w:val="0"/>
                  <w:divBdr>
                    <w:top w:val="none" w:sz="0" w:space="0" w:color="auto"/>
                    <w:left w:val="none" w:sz="0" w:space="0" w:color="auto"/>
                    <w:bottom w:val="none" w:sz="0" w:space="0" w:color="auto"/>
                    <w:right w:val="none" w:sz="0" w:space="0" w:color="auto"/>
                  </w:divBdr>
                </w:div>
              </w:divsChild>
            </w:div>
            <w:div w:id="1282104093">
              <w:marLeft w:val="0"/>
              <w:marRight w:val="0"/>
              <w:marTop w:val="0"/>
              <w:marBottom w:val="0"/>
              <w:divBdr>
                <w:top w:val="none" w:sz="0" w:space="0" w:color="auto"/>
                <w:left w:val="none" w:sz="0" w:space="0" w:color="auto"/>
                <w:bottom w:val="none" w:sz="0" w:space="0" w:color="auto"/>
                <w:right w:val="none" w:sz="0" w:space="0" w:color="auto"/>
              </w:divBdr>
              <w:divsChild>
                <w:div w:id="925267258">
                  <w:marLeft w:val="0"/>
                  <w:marRight w:val="0"/>
                  <w:marTop w:val="0"/>
                  <w:marBottom w:val="0"/>
                  <w:divBdr>
                    <w:top w:val="none" w:sz="0" w:space="0" w:color="auto"/>
                    <w:left w:val="none" w:sz="0" w:space="0" w:color="auto"/>
                    <w:bottom w:val="none" w:sz="0" w:space="0" w:color="auto"/>
                    <w:right w:val="none" w:sz="0" w:space="0" w:color="auto"/>
                  </w:divBdr>
                </w:div>
              </w:divsChild>
            </w:div>
            <w:div w:id="1317150694">
              <w:marLeft w:val="0"/>
              <w:marRight w:val="0"/>
              <w:marTop w:val="0"/>
              <w:marBottom w:val="0"/>
              <w:divBdr>
                <w:top w:val="none" w:sz="0" w:space="0" w:color="auto"/>
                <w:left w:val="none" w:sz="0" w:space="0" w:color="auto"/>
                <w:bottom w:val="none" w:sz="0" w:space="0" w:color="auto"/>
                <w:right w:val="none" w:sz="0" w:space="0" w:color="auto"/>
              </w:divBdr>
              <w:divsChild>
                <w:div w:id="1087730588">
                  <w:marLeft w:val="0"/>
                  <w:marRight w:val="0"/>
                  <w:marTop w:val="0"/>
                  <w:marBottom w:val="0"/>
                  <w:divBdr>
                    <w:top w:val="none" w:sz="0" w:space="0" w:color="auto"/>
                    <w:left w:val="none" w:sz="0" w:space="0" w:color="auto"/>
                    <w:bottom w:val="none" w:sz="0" w:space="0" w:color="auto"/>
                    <w:right w:val="none" w:sz="0" w:space="0" w:color="auto"/>
                  </w:divBdr>
                </w:div>
              </w:divsChild>
            </w:div>
            <w:div w:id="1627195509">
              <w:marLeft w:val="0"/>
              <w:marRight w:val="0"/>
              <w:marTop w:val="0"/>
              <w:marBottom w:val="0"/>
              <w:divBdr>
                <w:top w:val="none" w:sz="0" w:space="0" w:color="auto"/>
                <w:left w:val="none" w:sz="0" w:space="0" w:color="auto"/>
                <w:bottom w:val="none" w:sz="0" w:space="0" w:color="auto"/>
                <w:right w:val="none" w:sz="0" w:space="0" w:color="auto"/>
              </w:divBdr>
              <w:divsChild>
                <w:div w:id="1204488876">
                  <w:marLeft w:val="0"/>
                  <w:marRight w:val="0"/>
                  <w:marTop w:val="0"/>
                  <w:marBottom w:val="0"/>
                  <w:divBdr>
                    <w:top w:val="none" w:sz="0" w:space="0" w:color="auto"/>
                    <w:left w:val="none" w:sz="0" w:space="0" w:color="auto"/>
                    <w:bottom w:val="none" w:sz="0" w:space="0" w:color="auto"/>
                    <w:right w:val="none" w:sz="0" w:space="0" w:color="auto"/>
                  </w:divBdr>
                </w:div>
              </w:divsChild>
            </w:div>
            <w:div w:id="2056198539">
              <w:marLeft w:val="0"/>
              <w:marRight w:val="0"/>
              <w:marTop w:val="0"/>
              <w:marBottom w:val="0"/>
              <w:divBdr>
                <w:top w:val="none" w:sz="0" w:space="0" w:color="auto"/>
                <w:left w:val="none" w:sz="0" w:space="0" w:color="auto"/>
                <w:bottom w:val="none" w:sz="0" w:space="0" w:color="auto"/>
                <w:right w:val="none" w:sz="0" w:space="0" w:color="auto"/>
              </w:divBdr>
              <w:divsChild>
                <w:div w:id="19451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20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htb.med.ic.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issuebank@imperial.ac.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imperial.ac.uk/admin-services/secretariat/information-governance/data-protection/data-breach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mperial.ac.uk/imperial-college-healthcare-tissue-bank/databas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317139A0870546A4C0989BB731ED89"/>
        <w:category>
          <w:name w:val="General"/>
          <w:gallery w:val="placeholder"/>
        </w:category>
        <w:types>
          <w:type w:val="bbPlcHdr"/>
        </w:types>
        <w:behaviors>
          <w:behavior w:val="content"/>
        </w:behaviors>
        <w:guid w:val="{7ED5AAD7-0105-4C44-82ED-F3F006352757}"/>
      </w:docPartPr>
      <w:docPartBody>
        <w:p w:rsidR="00E73945" w:rsidRDefault="00E73945" w:rsidP="00E73945">
          <w:pPr>
            <w:pStyle w:val="E4317139A0870546A4C0989BB731ED89"/>
          </w:pPr>
          <w:r>
            <w:t>[Type text]</w:t>
          </w:r>
        </w:p>
      </w:docPartBody>
    </w:docPart>
    <w:docPart>
      <w:docPartPr>
        <w:name w:val="974BE5FACC55B649BC30D017CD05C598"/>
        <w:category>
          <w:name w:val="General"/>
          <w:gallery w:val="placeholder"/>
        </w:category>
        <w:types>
          <w:type w:val="bbPlcHdr"/>
        </w:types>
        <w:behaviors>
          <w:behavior w:val="content"/>
        </w:behaviors>
        <w:guid w:val="{1DB32BF5-1427-844A-AA99-50B548F8B23C}"/>
      </w:docPartPr>
      <w:docPartBody>
        <w:p w:rsidR="00E73945" w:rsidRDefault="00E73945" w:rsidP="00E73945">
          <w:pPr>
            <w:pStyle w:val="974BE5FACC55B649BC30D017CD05C598"/>
          </w:pPr>
          <w:r>
            <w:t>[Type text]</w:t>
          </w:r>
        </w:p>
      </w:docPartBody>
    </w:docPart>
    <w:docPart>
      <w:docPartPr>
        <w:name w:val="8AD6FFCC27340542962B3D6BC1C5E71B"/>
        <w:category>
          <w:name w:val="General"/>
          <w:gallery w:val="placeholder"/>
        </w:category>
        <w:types>
          <w:type w:val="bbPlcHdr"/>
        </w:types>
        <w:behaviors>
          <w:behavior w:val="content"/>
        </w:behaviors>
        <w:guid w:val="{D3588E22-0241-384D-8627-22550D8BAAF8}"/>
      </w:docPartPr>
      <w:docPartBody>
        <w:p w:rsidR="00E73945" w:rsidRDefault="00E73945" w:rsidP="00E73945">
          <w:pPr>
            <w:pStyle w:val="8AD6FFCC27340542962B3D6BC1C5E71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roman"/>
    <w:pitch w:val="default"/>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3945"/>
    <w:rsid w:val="00036BBC"/>
    <w:rsid w:val="002601E1"/>
    <w:rsid w:val="00337146"/>
    <w:rsid w:val="004B1968"/>
    <w:rsid w:val="006077EE"/>
    <w:rsid w:val="00700CF0"/>
    <w:rsid w:val="00744DD6"/>
    <w:rsid w:val="0095033C"/>
    <w:rsid w:val="009735F7"/>
    <w:rsid w:val="00A71FEC"/>
    <w:rsid w:val="00A7650B"/>
    <w:rsid w:val="00AA2A48"/>
    <w:rsid w:val="00B55724"/>
    <w:rsid w:val="00D9162B"/>
    <w:rsid w:val="00E73945"/>
    <w:rsid w:val="00EC0C2A"/>
    <w:rsid w:val="00FE12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4317139A0870546A4C0989BB731ED89">
    <w:name w:val="E4317139A0870546A4C0989BB731ED89"/>
    <w:rsid w:val="00E73945"/>
  </w:style>
  <w:style w:type="paragraph" w:customStyle="1" w:styleId="974BE5FACC55B649BC30D017CD05C598">
    <w:name w:val="974BE5FACC55B649BC30D017CD05C598"/>
    <w:rsid w:val="00E73945"/>
  </w:style>
  <w:style w:type="paragraph" w:customStyle="1" w:styleId="8AD6FFCC27340542962B3D6BC1C5E71B">
    <w:name w:val="8AD6FFCC27340542962B3D6BC1C5E71B"/>
    <w:rsid w:val="00E73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sponsible_x0020_person xmlns="14ff9795-14a1-4f20-8eee-52156fb03e80">
      <UserInfo>
        <DisplayName>Rendel, Sandrine</DisplayName>
        <AccountId>16745</AccountId>
        <AccountType/>
      </UserInfo>
    </Responsible_x0020_person>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Tissue Bank Read" ma:contentTypeID="0x01010071CFBEF74AA4AA4881958DB8C4020E91020019D1662D6DE32D43845A0125A34C9E35" ma:contentTypeVersion="3" ma:contentTypeDescription="" ma:contentTypeScope="" ma:versionID="505614918f7be5934b73a791bf894a46">
  <xsd:schema xmlns:xsd="http://www.w3.org/2001/XMLSchema" xmlns:xs="http://www.w3.org/2001/XMLSchema" xmlns:p="http://schemas.microsoft.com/office/2006/metadata/properties" xmlns:ns2="14ff9795-14a1-4f20-8eee-52156fb03e80" targetNamespace="http://schemas.microsoft.com/office/2006/metadata/properties" ma:root="true" ma:fieldsID="36ba9fcd4adbc8c2bfe373ab65f0eb18" ns2:_="">
    <xsd:import namespace="14ff9795-14a1-4f20-8eee-52156fb03e80"/>
    <xsd:element name="properties">
      <xsd:complexType>
        <xsd:sequence>
          <xsd:element name="documentManagement">
            <xsd:complexType>
              <xsd:all>
                <xsd:element ref="ns2:Responsible_x0020_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f9795-14a1-4f20-8eee-52156fb03e80" elementFormDefault="qualified">
    <xsd:import namespace="http://schemas.microsoft.com/office/2006/documentManagement/types"/>
    <xsd:import namespace="http://schemas.microsoft.com/office/infopath/2007/PartnerControls"/>
    <xsd:element name="Responsible_x0020_person" ma:index="8" nillable="true" ma:displayName="Responsible person" ma:format="Dropdown" ma:list="UserInfo" ma:SharePointGroup="22992" ma:internalName="Responsible_x0020_person"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864566-51F1-4DA9-8700-C2ADB4A40E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31DAD3-3141-42CF-A103-233B559618E8}">
  <ds:schemaRefs>
    <ds:schemaRef ds:uri="http://schemas.openxmlformats.org/officeDocument/2006/bibliography"/>
  </ds:schemaRefs>
</ds:datastoreItem>
</file>

<file path=customXml/itemProps3.xml><?xml version="1.0" encoding="utf-8"?>
<ds:datastoreItem xmlns:ds="http://schemas.openxmlformats.org/officeDocument/2006/customXml" ds:itemID="{6F214FEA-3938-40F9-A827-B28A79E44049}"/>
</file>

<file path=customXml/itemProps4.xml><?xml version="1.0" encoding="utf-8"?>
<ds:datastoreItem xmlns:ds="http://schemas.openxmlformats.org/officeDocument/2006/customXml" ds:itemID="{28F89766-39C5-4FA3-AF39-AC1B7701D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2820</Words>
  <Characters>16079</Characters>
  <Application>Microsoft Office Word</Application>
  <DocSecurity>0</DocSecurity>
  <Lines>133</Lines>
  <Paragraphs>37</Paragraphs>
  <ScaleCrop>false</ScaleCrop>
  <Company>Imperial College London</Company>
  <LinksUpToDate>false</LinksUpToDate>
  <CharactersWithSpaces>18862</CharactersWithSpaces>
  <SharedDoc>false</SharedDoc>
  <HLinks>
    <vt:vector size="18" baseType="variant">
      <vt:variant>
        <vt:i4>7667725</vt:i4>
      </vt:variant>
      <vt:variant>
        <vt:i4>6</vt:i4>
      </vt:variant>
      <vt:variant>
        <vt:i4>0</vt:i4>
      </vt:variant>
      <vt:variant>
        <vt:i4>5</vt:i4>
      </vt:variant>
      <vt:variant>
        <vt:lpwstr>mailto:tissuebank@imperial.ac.uk</vt:lpwstr>
      </vt:variant>
      <vt:variant>
        <vt:lpwstr/>
      </vt:variant>
      <vt:variant>
        <vt:i4>3276924</vt:i4>
      </vt:variant>
      <vt:variant>
        <vt:i4>3</vt:i4>
      </vt:variant>
      <vt:variant>
        <vt:i4>0</vt:i4>
      </vt:variant>
      <vt:variant>
        <vt:i4>5</vt:i4>
      </vt:variant>
      <vt:variant>
        <vt:lpwstr>https://www.imperial.ac.uk/admin-services/secretariat/information-governance/data-protection/data-breaches/</vt:lpwstr>
      </vt:variant>
      <vt:variant>
        <vt:lpwstr>:~:text=What%20this%20means%20is%20that,.imperial.ac.uk.</vt:lpwstr>
      </vt:variant>
      <vt:variant>
        <vt:i4>2359419</vt:i4>
      </vt:variant>
      <vt:variant>
        <vt:i4>0</vt:i4>
      </vt:variant>
      <vt:variant>
        <vt:i4>0</vt:i4>
      </vt:variant>
      <vt:variant>
        <vt:i4>5</vt:i4>
      </vt:variant>
      <vt:variant>
        <vt:lpwstr>https://ichtb.med.ic.ac.uk/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Thomas</dc:creator>
  <cp:keywords/>
  <dc:description/>
  <cp:lastModifiedBy>sandrine rendel</cp:lastModifiedBy>
  <cp:revision>128</cp:revision>
  <cp:lastPrinted>2022-04-27T14:05:00Z</cp:lastPrinted>
  <dcterms:created xsi:type="dcterms:W3CDTF">2021-01-20T18:29:00Z</dcterms:created>
  <dcterms:modified xsi:type="dcterms:W3CDTF">2022-10-31T11:20:00Z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0x01010071CFBEF74AA4AA4881958DB8C4020E91020019D1662D6DE32D43845A0125A34C9E35</vt:lpwstr>
  </property>
  <property fmtid="{D5CDD505-2E9C-101B-9397-08002B2CF9AE}" pid="3" name="Dated">
    <vt:lpwstr>20/01/2021</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Reference">
    <vt:lpwstr>TB-DOC-SCM11</vt:lpwstr>
  </property>
  <property fmtid="{D5CDD505-2E9C-101B-9397-08002B2CF9AE}" pid="8" name="Version Number">
    <vt:lpwstr>6</vt:lpwstr>
  </property>
  <property fmtid="{D5CDD505-2E9C-101B-9397-08002B2CF9AE}" pid="9" name="ComplianceAssetId">
    <vt:lpwstr/>
  </property>
  <property fmtid="{D5CDD505-2E9C-101B-9397-08002B2CF9AE}" pid="10" name="TemplateUrl">
    <vt:lpwstr/>
  </property>
  <property fmtid="{D5CDD505-2E9C-101B-9397-08002B2CF9AE}" pid="11" name="_Version">
    <vt:lpwstr>7</vt:lpwstr>
  </property>
  <property fmtid="{D5CDD505-2E9C-101B-9397-08002B2CF9AE}" pid="12" name="RoutingRuleDescription">
    <vt:lpwstr>TB-DOC-SCM11</vt:lpwstr>
  </property>
  <property fmtid="{D5CDD505-2E9C-101B-9397-08002B2CF9AE}" pid="13" name="DateApproved">
    <vt:filetime>2021-01-20T00:00:00Z</vt:filetime>
  </property>
</Properties>
</file>