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E9FBD5" w14:textId="77777777" w:rsidR="00E86C33" w:rsidRPr="00E86C33" w:rsidRDefault="00E86C33" w:rsidP="00E86C33">
      <w:pPr>
        <w:jc w:val="center"/>
        <w:rPr>
          <w:rFonts w:ascii="Arial" w:hAnsi="Arial" w:cs="Arial"/>
          <w:b/>
          <w:sz w:val="24"/>
        </w:rPr>
      </w:pPr>
      <w:r w:rsidRPr="00E86C33">
        <w:rPr>
          <w:rFonts w:ascii="Arial" w:hAnsi="Arial" w:cs="Arial"/>
          <w:b/>
          <w:sz w:val="24"/>
        </w:rPr>
        <w:t xml:space="preserve">Standard Operating Procedure (SOP) </w:t>
      </w:r>
      <w:r w:rsidR="002331B2">
        <w:rPr>
          <w:rFonts w:ascii="Arial" w:hAnsi="Arial" w:cs="Arial"/>
          <w:b/>
          <w:sz w:val="24"/>
        </w:rPr>
        <w:t>–</w:t>
      </w:r>
      <w:r w:rsidRPr="00E86C33">
        <w:rPr>
          <w:rFonts w:ascii="Arial" w:hAnsi="Arial" w:cs="Arial"/>
          <w:b/>
          <w:sz w:val="24"/>
        </w:rPr>
        <w:t xml:space="preserve"> </w:t>
      </w:r>
      <w:r w:rsidR="002331B2">
        <w:rPr>
          <w:rFonts w:ascii="Arial" w:hAnsi="Arial" w:cs="Arial"/>
          <w:i/>
          <w:sz w:val="24"/>
        </w:rPr>
        <w:t xml:space="preserve">Quenching </w:t>
      </w:r>
      <w:r w:rsidRPr="00E86C33">
        <w:rPr>
          <w:rFonts w:ascii="Arial" w:hAnsi="Arial" w:cs="Arial"/>
          <w:i/>
          <w:sz w:val="24"/>
        </w:rPr>
        <w:t>of Pyrophoric Substances</w:t>
      </w:r>
    </w:p>
    <w:p w14:paraId="1C6EDF04" w14:textId="77777777" w:rsidR="00E86C33" w:rsidRPr="00E86C33" w:rsidRDefault="00E86C33" w:rsidP="00E86C33">
      <w:pPr>
        <w:rPr>
          <w:rFonts w:ascii="Arial" w:hAnsi="Arial" w:cs="Arial"/>
          <w:b/>
          <w:i/>
        </w:rPr>
      </w:pPr>
      <w:r w:rsidRPr="00E86C33">
        <w:rPr>
          <w:rFonts w:ascii="Arial" w:hAnsi="Arial" w:cs="Arial"/>
          <w:b/>
          <w:i/>
        </w:rPr>
        <w:t>Section 1 – Process</w:t>
      </w:r>
    </w:p>
    <w:p w14:paraId="646E5E9D" w14:textId="77777777" w:rsidR="002331B2" w:rsidRPr="002331B2" w:rsidRDefault="002331B2" w:rsidP="002331B2">
      <w:pPr>
        <w:jc w:val="both"/>
        <w:rPr>
          <w:rFonts w:ascii="Arial" w:hAnsi="Arial" w:cs="Arial"/>
          <w:lang w:val="en-US"/>
        </w:rPr>
      </w:pPr>
      <w:r w:rsidRPr="002331B2">
        <w:rPr>
          <w:rFonts w:ascii="Arial" w:hAnsi="Arial" w:cs="Arial"/>
          <w:lang w:val="en-US"/>
        </w:rPr>
        <w:t xml:space="preserve">Two methods are presented for the quenching and disposal of pyrophoric materials. The first method is recommended to quench unspent pyrophoric material. </w:t>
      </w:r>
      <w:r>
        <w:rPr>
          <w:rFonts w:ascii="Arial" w:hAnsi="Arial" w:cs="Arial"/>
          <w:lang w:val="en-US"/>
        </w:rPr>
        <w:t xml:space="preserve">The </w:t>
      </w:r>
      <w:r w:rsidRPr="002331B2">
        <w:rPr>
          <w:rFonts w:ascii="Arial" w:hAnsi="Arial" w:cs="Arial"/>
          <w:lang w:val="en-US"/>
        </w:rPr>
        <w:t xml:space="preserve">second method should ONLY be used for small amount of material and concerns decontaminating glassware that has been used to handle pyrophoric materials. </w:t>
      </w:r>
    </w:p>
    <w:p w14:paraId="793095C8" w14:textId="77777777" w:rsidR="00E86C33" w:rsidRPr="00E86C33" w:rsidRDefault="00E86C33" w:rsidP="00E86C33">
      <w:pPr>
        <w:rPr>
          <w:rFonts w:ascii="Arial" w:hAnsi="Arial" w:cs="Arial"/>
        </w:rPr>
      </w:pPr>
      <w:r>
        <w:rPr>
          <w:rFonts w:ascii="Arial" w:hAnsi="Arial" w:cs="Arial"/>
        </w:rPr>
        <w:t>Relevant reagents include:</w:t>
      </w:r>
    </w:p>
    <w:p w14:paraId="57EF174F" w14:textId="77777777" w:rsidR="00E86C33" w:rsidRPr="00E86C33" w:rsidRDefault="00E86C33" w:rsidP="00E86C33">
      <w:pPr>
        <w:pStyle w:val="ListParagraph"/>
        <w:numPr>
          <w:ilvl w:val="0"/>
          <w:numId w:val="2"/>
        </w:numPr>
        <w:rPr>
          <w:rFonts w:ascii="Arial" w:hAnsi="Arial" w:cs="Arial"/>
        </w:rPr>
      </w:pPr>
      <w:proofErr w:type="spellStart"/>
      <w:r w:rsidRPr="00E86C33">
        <w:rPr>
          <w:rFonts w:ascii="Arial" w:hAnsi="Arial" w:cs="Arial"/>
          <w:b/>
          <w:i/>
        </w:rPr>
        <w:t>Organolithium</w:t>
      </w:r>
      <w:proofErr w:type="spellEnd"/>
      <w:r w:rsidRPr="00E86C33">
        <w:rPr>
          <w:rFonts w:ascii="Arial" w:hAnsi="Arial" w:cs="Arial"/>
          <w:b/>
          <w:i/>
        </w:rPr>
        <w:t xml:space="preserve"> reagents</w:t>
      </w:r>
      <w:r>
        <w:rPr>
          <w:rFonts w:ascii="Arial" w:hAnsi="Arial" w:cs="Arial"/>
        </w:rPr>
        <w:t xml:space="preserve"> - t</w:t>
      </w:r>
      <w:r w:rsidRPr="00E86C33">
        <w:rPr>
          <w:rFonts w:ascii="Arial" w:hAnsi="Arial" w:cs="Arial"/>
        </w:rPr>
        <w:t xml:space="preserve">ypically </w:t>
      </w:r>
      <w:r>
        <w:rPr>
          <w:rFonts w:ascii="Arial" w:hAnsi="Arial" w:cs="Arial"/>
        </w:rPr>
        <w:t xml:space="preserve">in hydrocarbon solvents. Note: </w:t>
      </w:r>
      <w:proofErr w:type="spellStart"/>
      <w:r w:rsidRPr="00E86C33">
        <w:rPr>
          <w:rFonts w:ascii="Arial" w:hAnsi="Arial" w:cs="Arial"/>
          <w:i/>
        </w:rPr>
        <w:t>tert</w:t>
      </w:r>
      <w:r w:rsidRPr="00E86C33">
        <w:rPr>
          <w:rFonts w:ascii="Arial" w:hAnsi="Arial" w:cs="Arial"/>
        </w:rPr>
        <w:t>-butyllithium</w:t>
      </w:r>
      <w:proofErr w:type="spellEnd"/>
      <w:r w:rsidRPr="00E86C33">
        <w:rPr>
          <w:rFonts w:ascii="Arial" w:hAnsi="Arial" w:cs="Arial"/>
        </w:rPr>
        <w:t xml:space="preserve"> solutions are highly pyrophoric.</w:t>
      </w:r>
    </w:p>
    <w:p w14:paraId="0A5E2312" w14:textId="77777777" w:rsidR="00E86C33" w:rsidRPr="00E86C33" w:rsidRDefault="00E86C33" w:rsidP="00E86C33">
      <w:pPr>
        <w:pStyle w:val="ListParagraph"/>
        <w:numPr>
          <w:ilvl w:val="0"/>
          <w:numId w:val="2"/>
        </w:numPr>
        <w:rPr>
          <w:rFonts w:ascii="Arial" w:hAnsi="Arial" w:cs="Arial"/>
        </w:rPr>
      </w:pPr>
      <w:proofErr w:type="spellStart"/>
      <w:r w:rsidRPr="00E86C33">
        <w:rPr>
          <w:rFonts w:ascii="Arial" w:hAnsi="Arial" w:cs="Arial"/>
          <w:b/>
          <w:i/>
        </w:rPr>
        <w:t>Organomagnesium</w:t>
      </w:r>
      <w:proofErr w:type="spellEnd"/>
      <w:r w:rsidRPr="00E86C33">
        <w:rPr>
          <w:rFonts w:ascii="Arial" w:hAnsi="Arial" w:cs="Arial"/>
          <w:b/>
          <w:i/>
        </w:rPr>
        <w:t xml:space="preserve"> reagents</w:t>
      </w:r>
      <w:r w:rsidRPr="00E86C33">
        <w:rPr>
          <w:rFonts w:ascii="Arial" w:hAnsi="Arial" w:cs="Arial"/>
        </w:rPr>
        <w:t xml:space="preserve"> </w:t>
      </w:r>
      <w:r>
        <w:rPr>
          <w:rFonts w:ascii="Arial" w:hAnsi="Arial" w:cs="Arial"/>
        </w:rPr>
        <w:t xml:space="preserve">- </w:t>
      </w:r>
      <w:r w:rsidRPr="00E86C33">
        <w:rPr>
          <w:rFonts w:ascii="Arial" w:hAnsi="Arial" w:cs="Arial"/>
        </w:rPr>
        <w:t>includ</w:t>
      </w:r>
      <w:r>
        <w:rPr>
          <w:rFonts w:ascii="Arial" w:hAnsi="Arial" w:cs="Arial"/>
        </w:rPr>
        <w:t>ing Grignard r</w:t>
      </w:r>
      <w:r w:rsidRPr="00E86C33">
        <w:rPr>
          <w:rFonts w:ascii="Arial" w:hAnsi="Arial" w:cs="Arial"/>
        </w:rPr>
        <w:t>eagents (</w:t>
      </w:r>
      <w:proofErr w:type="spellStart"/>
      <w:r w:rsidRPr="00E86C33">
        <w:rPr>
          <w:rFonts w:ascii="Arial" w:hAnsi="Arial" w:cs="Arial"/>
        </w:rPr>
        <w:t>RMgX</w:t>
      </w:r>
      <w:proofErr w:type="spellEnd"/>
      <w:r w:rsidRPr="00E86C33">
        <w:rPr>
          <w:rFonts w:ascii="Arial" w:hAnsi="Arial" w:cs="Arial"/>
        </w:rPr>
        <w:t>) - Typically in hydrocarbon solvents. Neat reagents are pyrophoric.</w:t>
      </w:r>
    </w:p>
    <w:p w14:paraId="58741632" w14:textId="77777777" w:rsidR="00E86C33" w:rsidRPr="00E86C33" w:rsidRDefault="00E86C33" w:rsidP="00E86C33">
      <w:pPr>
        <w:pStyle w:val="ListParagraph"/>
        <w:numPr>
          <w:ilvl w:val="0"/>
          <w:numId w:val="2"/>
        </w:numPr>
        <w:rPr>
          <w:rFonts w:ascii="Arial" w:hAnsi="Arial" w:cs="Arial"/>
        </w:rPr>
      </w:pPr>
      <w:proofErr w:type="spellStart"/>
      <w:r w:rsidRPr="00E86C33">
        <w:rPr>
          <w:rFonts w:ascii="Arial" w:hAnsi="Arial" w:cs="Arial"/>
          <w:b/>
          <w:i/>
        </w:rPr>
        <w:t>Organoaluminum</w:t>
      </w:r>
      <w:proofErr w:type="spellEnd"/>
      <w:r w:rsidRPr="00E86C33">
        <w:rPr>
          <w:rFonts w:ascii="Arial" w:hAnsi="Arial" w:cs="Arial"/>
          <w:b/>
          <w:i/>
        </w:rPr>
        <w:t xml:space="preserve"> reagents</w:t>
      </w:r>
      <w:r w:rsidRPr="00E86C33">
        <w:rPr>
          <w:rFonts w:ascii="Arial" w:hAnsi="Arial" w:cs="Arial"/>
        </w:rPr>
        <w:t xml:space="preserve"> - Neat or in hydrocarbon solvents. Neat reagents are highly pyrophoric.</w:t>
      </w:r>
    </w:p>
    <w:p w14:paraId="78845FE4" w14:textId="77777777" w:rsidR="00E86C33" w:rsidRPr="00E86C33" w:rsidRDefault="00E86C33" w:rsidP="00E86C33">
      <w:pPr>
        <w:pStyle w:val="ListParagraph"/>
        <w:numPr>
          <w:ilvl w:val="0"/>
          <w:numId w:val="2"/>
        </w:numPr>
        <w:rPr>
          <w:rFonts w:ascii="Arial" w:hAnsi="Arial" w:cs="Arial"/>
        </w:rPr>
      </w:pPr>
      <w:proofErr w:type="spellStart"/>
      <w:r w:rsidRPr="00E86C33">
        <w:rPr>
          <w:rFonts w:ascii="Arial" w:hAnsi="Arial" w:cs="Arial"/>
          <w:b/>
          <w:i/>
        </w:rPr>
        <w:t>Organozinc</w:t>
      </w:r>
      <w:proofErr w:type="spellEnd"/>
      <w:r w:rsidRPr="00E86C33">
        <w:rPr>
          <w:rFonts w:ascii="Arial" w:hAnsi="Arial" w:cs="Arial"/>
          <w:b/>
          <w:i/>
        </w:rPr>
        <w:t xml:space="preserve"> reagents</w:t>
      </w:r>
      <w:r w:rsidRPr="00E86C33">
        <w:rPr>
          <w:rFonts w:ascii="Arial" w:hAnsi="Arial" w:cs="Arial"/>
        </w:rPr>
        <w:t xml:space="preserve"> - Neat reagents are pyrophoric.</w:t>
      </w:r>
    </w:p>
    <w:p w14:paraId="095FA4F8" w14:textId="77777777" w:rsidR="00E86C33" w:rsidRDefault="00E86C33" w:rsidP="00E86C33">
      <w:pPr>
        <w:pStyle w:val="ListParagraph"/>
        <w:numPr>
          <w:ilvl w:val="0"/>
          <w:numId w:val="2"/>
        </w:numPr>
        <w:rPr>
          <w:rFonts w:ascii="Arial" w:hAnsi="Arial" w:cs="Arial"/>
        </w:rPr>
      </w:pPr>
      <w:r w:rsidRPr="00E86C33">
        <w:rPr>
          <w:rFonts w:ascii="Arial" w:hAnsi="Arial" w:cs="Arial"/>
          <w:b/>
          <w:i/>
        </w:rPr>
        <w:t>Boranes</w:t>
      </w:r>
      <w:r w:rsidRPr="00E86C33">
        <w:rPr>
          <w:rFonts w:ascii="Arial" w:hAnsi="Arial" w:cs="Arial"/>
        </w:rPr>
        <w:t xml:space="preserve"> - Neat reagents are pyrophoric.</w:t>
      </w:r>
    </w:p>
    <w:p w14:paraId="35486A61" w14:textId="77777777" w:rsidR="00702D2F" w:rsidRDefault="00702D2F" w:rsidP="00E86C33">
      <w:pPr>
        <w:pStyle w:val="ListParagraph"/>
        <w:numPr>
          <w:ilvl w:val="0"/>
          <w:numId w:val="2"/>
        </w:numPr>
        <w:rPr>
          <w:rFonts w:ascii="Arial" w:hAnsi="Arial" w:cs="Arial"/>
        </w:rPr>
      </w:pPr>
      <w:r w:rsidRPr="00702D2F">
        <w:rPr>
          <w:rFonts w:ascii="Arial" w:hAnsi="Arial" w:cs="Arial"/>
          <w:b/>
          <w:i/>
        </w:rPr>
        <w:t>Metal Hydrides</w:t>
      </w:r>
      <w:r>
        <w:rPr>
          <w:rFonts w:ascii="Arial" w:hAnsi="Arial" w:cs="Arial"/>
        </w:rPr>
        <w:t xml:space="preserve"> – </w:t>
      </w:r>
      <w:r w:rsidRPr="00702D2F">
        <w:rPr>
          <w:rFonts w:ascii="Arial" w:hAnsi="Arial" w:cs="Arial"/>
          <w:i/>
        </w:rPr>
        <w:t>e.g</w:t>
      </w:r>
      <w:r>
        <w:rPr>
          <w:rFonts w:ascii="Arial" w:hAnsi="Arial" w:cs="Arial"/>
        </w:rPr>
        <w:t>. CaH</w:t>
      </w:r>
      <w:r w:rsidRPr="00702D2F">
        <w:rPr>
          <w:rFonts w:ascii="Arial" w:hAnsi="Arial" w:cs="Arial"/>
          <w:vertAlign w:val="subscript"/>
        </w:rPr>
        <w:t>2</w:t>
      </w:r>
      <w:r>
        <w:rPr>
          <w:rFonts w:ascii="Arial" w:hAnsi="Arial" w:cs="Arial"/>
        </w:rPr>
        <w:t xml:space="preserve">, </w:t>
      </w:r>
      <w:proofErr w:type="spellStart"/>
      <w:r>
        <w:rPr>
          <w:rFonts w:ascii="Arial" w:hAnsi="Arial" w:cs="Arial"/>
        </w:rPr>
        <w:t>NaH</w:t>
      </w:r>
      <w:proofErr w:type="spellEnd"/>
    </w:p>
    <w:p w14:paraId="3625CC21" w14:textId="77777777" w:rsidR="00702D2F" w:rsidRDefault="00702D2F" w:rsidP="00E86C33">
      <w:pPr>
        <w:pStyle w:val="ListParagraph"/>
        <w:numPr>
          <w:ilvl w:val="0"/>
          <w:numId w:val="2"/>
        </w:numPr>
        <w:rPr>
          <w:rFonts w:ascii="Arial" w:hAnsi="Arial" w:cs="Arial"/>
        </w:rPr>
      </w:pPr>
      <w:r w:rsidRPr="00702D2F">
        <w:rPr>
          <w:rFonts w:ascii="Arial" w:hAnsi="Arial" w:cs="Arial"/>
          <w:b/>
          <w:i/>
        </w:rPr>
        <w:t>Group 1 metals</w:t>
      </w:r>
      <w:r>
        <w:rPr>
          <w:rFonts w:ascii="Arial" w:hAnsi="Arial" w:cs="Arial"/>
        </w:rPr>
        <w:t xml:space="preserve"> – Li, Na, K</w:t>
      </w:r>
    </w:p>
    <w:p w14:paraId="6314CD00" w14:textId="77777777" w:rsidR="00E86C33" w:rsidRPr="00E86C33" w:rsidRDefault="00E86C33" w:rsidP="00E86C33">
      <w:pPr>
        <w:rPr>
          <w:rFonts w:ascii="Arial" w:hAnsi="Arial" w:cs="Arial"/>
          <w:i/>
        </w:rPr>
      </w:pPr>
      <w:r w:rsidRPr="00E86C33">
        <w:rPr>
          <w:rFonts w:ascii="Arial" w:hAnsi="Arial" w:cs="Arial"/>
          <w:i/>
          <w:u w:val="single"/>
        </w:rPr>
        <w:t>Method 1:</w:t>
      </w:r>
      <w:r w:rsidRPr="00E86C33">
        <w:rPr>
          <w:rFonts w:ascii="Arial" w:hAnsi="Arial" w:cs="Arial"/>
          <w:i/>
        </w:rPr>
        <w:t xml:space="preserve"> </w:t>
      </w:r>
      <w:r w:rsidR="00702D2F">
        <w:rPr>
          <w:rFonts w:ascii="Arial" w:hAnsi="Arial" w:cs="Arial"/>
          <w:i/>
        </w:rPr>
        <w:t>Particularly for large scale quenches</w:t>
      </w:r>
    </w:p>
    <w:p w14:paraId="30096FFD" w14:textId="77777777" w:rsidR="00702D2F" w:rsidRPr="00702D2F" w:rsidRDefault="00702D2F" w:rsidP="00702D2F">
      <w:pPr>
        <w:jc w:val="both"/>
        <w:rPr>
          <w:rFonts w:ascii="Arial" w:hAnsi="Arial" w:cs="Arial"/>
          <w:lang w:val="en-US"/>
        </w:rPr>
      </w:pPr>
      <w:r w:rsidRPr="00702D2F">
        <w:rPr>
          <w:rFonts w:ascii="Arial" w:hAnsi="Arial" w:cs="Arial"/>
          <w:lang w:val="en-US"/>
        </w:rPr>
        <w:t xml:space="preserve">The pyrophoric material to be quenched is initially transferred to a </w:t>
      </w:r>
      <w:proofErr w:type="spellStart"/>
      <w:r w:rsidRPr="00702D2F">
        <w:rPr>
          <w:rFonts w:ascii="Arial" w:hAnsi="Arial" w:cs="Arial"/>
          <w:lang w:val="en-US"/>
        </w:rPr>
        <w:t>Schlenk</w:t>
      </w:r>
      <w:proofErr w:type="spellEnd"/>
      <w:r w:rsidRPr="00702D2F">
        <w:rPr>
          <w:rFonts w:ascii="Arial" w:hAnsi="Arial" w:cs="Arial"/>
          <w:lang w:val="en-US"/>
        </w:rPr>
        <w:t xml:space="preserve"> flask, or round-bottom flask equipped with a vacuum adapter. Solids, such as Na metal, may be suspended in toluene or another high-boiling, non-reactive solvent to facilitate stirring during the quenching process. Pyrophoric solutions should be diluted to approximately 1 M with dry toluene, neat pyrophoric reagents must be diluted.</w:t>
      </w:r>
    </w:p>
    <w:p w14:paraId="751A0177" w14:textId="77777777" w:rsidR="00702D2F" w:rsidRPr="00702D2F" w:rsidRDefault="00702D2F" w:rsidP="00702D2F">
      <w:pPr>
        <w:jc w:val="both"/>
        <w:rPr>
          <w:rFonts w:ascii="Arial" w:hAnsi="Arial" w:cs="Arial"/>
          <w:lang w:val="en-US"/>
        </w:rPr>
      </w:pPr>
      <w:r w:rsidRPr="00702D2F">
        <w:rPr>
          <w:rFonts w:ascii="Arial" w:hAnsi="Arial" w:cs="Arial"/>
          <w:lang w:val="en-US"/>
        </w:rPr>
        <w:t>The flask is then placed under an inert atmosphere of N</w:t>
      </w:r>
      <w:r w:rsidRPr="00702D2F">
        <w:rPr>
          <w:rFonts w:ascii="Arial" w:hAnsi="Arial" w:cs="Arial"/>
          <w:vertAlign w:val="subscript"/>
          <w:lang w:val="en-US"/>
        </w:rPr>
        <w:t>2</w:t>
      </w:r>
      <w:r w:rsidRPr="00702D2F">
        <w:rPr>
          <w:rFonts w:ascii="Arial" w:hAnsi="Arial" w:cs="Arial"/>
          <w:lang w:val="en-US"/>
        </w:rPr>
        <w:t xml:space="preserve"> (use </w:t>
      </w:r>
      <w:proofErr w:type="spellStart"/>
      <w:r w:rsidRPr="00702D2F">
        <w:rPr>
          <w:rFonts w:ascii="Arial" w:hAnsi="Arial" w:cs="Arial"/>
          <w:lang w:val="en-US"/>
        </w:rPr>
        <w:t>Ar</w:t>
      </w:r>
      <w:proofErr w:type="spellEnd"/>
      <w:r w:rsidRPr="00702D2F">
        <w:rPr>
          <w:rFonts w:ascii="Arial" w:hAnsi="Arial" w:cs="Arial"/>
          <w:lang w:val="en-US"/>
        </w:rPr>
        <w:t xml:space="preserve"> for Li metal) using a bubbler to vent those gasses evolved during the quenching process. The inert atmosphere prevents solvents from catching fire if the quenching mixture should become hot.  The flask is cooled to 0 °C followed by slow addition of isopropanol. Isopropanol is used as an initial quenching agent because it reacts less vigorously than water does with reducing materials. </w:t>
      </w:r>
    </w:p>
    <w:p w14:paraId="01B73A28" w14:textId="77777777" w:rsidR="00702D2F" w:rsidRPr="00702D2F" w:rsidRDefault="00702D2F" w:rsidP="00702D2F">
      <w:pPr>
        <w:jc w:val="both"/>
        <w:rPr>
          <w:rFonts w:ascii="Arial" w:hAnsi="Arial" w:cs="Arial"/>
          <w:lang w:val="en-US"/>
        </w:rPr>
      </w:pPr>
      <w:r w:rsidRPr="00702D2F">
        <w:rPr>
          <w:rFonts w:ascii="Arial" w:hAnsi="Arial" w:cs="Arial"/>
          <w:lang w:val="en-US"/>
        </w:rPr>
        <w:t xml:space="preserve">ONLY after the addition of isopropanol to the quenching mixture no longer results in a vigorous reaction, a 1:1 mixture of isopropanol/water is added, and finally water is added. Once the pyrophoric material appears to have been entirely consumed, and the addition of water gives no sign of reaction, the quenching mixture should be warmed to 20 °C and stirred for at least 6 additional hours to ensure that the contents have completely reacted. The solution should be neutralized by the addition of citric or acetic acid while the mixture is still under an inert atmosphere. After the acid addition, the hydroxides formed should dissolve and the mixture should become homogenous. </w:t>
      </w:r>
    </w:p>
    <w:p w14:paraId="6D3EB0D3" w14:textId="77777777" w:rsidR="00702D2F" w:rsidRPr="00702D2F" w:rsidRDefault="00702D2F" w:rsidP="00702D2F">
      <w:pPr>
        <w:jc w:val="both"/>
        <w:rPr>
          <w:rFonts w:ascii="Arial" w:hAnsi="Arial" w:cs="Arial"/>
          <w:lang w:val="en-US"/>
        </w:rPr>
      </w:pPr>
      <w:r w:rsidRPr="00702D2F">
        <w:rPr>
          <w:rFonts w:ascii="Arial" w:hAnsi="Arial" w:cs="Arial"/>
          <w:lang w:val="en-US"/>
        </w:rPr>
        <w:t xml:space="preserve">Extreme caution must be exercised if the mixture is not homogenous at the end of this process, as small amounts of pyrophoric material may still be present if they are coated in a layer of oxidized material. Because of this, it is best to stir the mixture until all solids dissolve. Once the process is complete, the mixture may be disposed of as organic solvent waste. If toluene or other organic solvents have not been added to the flask, the mixture may be </w:t>
      </w:r>
      <w:r w:rsidRPr="00702D2F">
        <w:rPr>
          <w:rFonts w:ascii="Arial" w:hAnsi="Arial" w:cs="Arial"/>
          <w:lang w:val="en-US"/>
        </w:rPr>
        <w:lastRenderedPageBreak/>
        <w:t>poured down the drain. (Note: If a mercury amalgam is quenched, the resulting waste must be treated as mercury-contaminated waste.)</w:t>
      </w:r>
    </w:p>
    <w:p w14:paraId="19127383" w14:textId="77777777" w:rsidR="00E86C33" w:rsidRPr="00E86C33" w:rsidRDefault="00E86C33" w:rsidP="00E86C33">
      <w:pPr>
        <w:rPr>
          <w:rFonts w:ascii="Arial" w:hAnsi="Arial" w:cs="Arial"/>
          <w:i/>
        </w:rPr>
      </w:pPr>
      <w:r w:rsidRPr="00E86C33">
        <w:rPr>
          <w:rFonts w:ascii="Arial" w:hAnsi="Arial" w:cs="Arial"/>
          <w:i/>
          <w:u w:val="single"/>
        </w:rPr>
        <w:t>Method 2</w:t>
      </w:r>
      <w:r w:rsidRPr="00E86C33">
        <w:rPr>
          <w:rFonts w:ascii="Arial" w:hAnsi="Arial" w:cs="Arial"/>
          <w:i/>
        </w:rPr>
        <w:t xml:space="preserve">: </w:t>
      </w:r>
      <w:r w:rsidR="00702D2F">
        <w:rPr>
          <w:rFonts w:ascii="Arial" w:hAnsi="Arial" w:cs="Arial"/>
          <w:i/>
        </w:rPr>
        <w:t>Only suitable for small scale quenches</w:t>
      </w:r>
    </w:p>
    <w:p w14:paraId="73E61F82" w14:textId="77777777" w:rsidR="00702D2F" w:rsidRDefault="00702D2F" w:rsidP="00702D2F">
      <w:pPr>
        <w:jc w:val="both"/>
        <w:rPr>
          <w:rFonts w:ascii="Arial" w:hAnsi="Arial" w:cs="Arial"/>
          <w:lang w:val="en-US"/>
        </w:rPr>
      </w:pPr>
      <w:r w:rsidRPr="00702D2F">
        <w:rPr>
          <w:rFonts w:ascii="Arial" w:hAnsi="Arial" w:cs="Arial"/>
          <w:lang w:val="en-US"/>
        </w:rPr>
        <w:t xml:space="preserve">It may not be possible or practical to transfer the contents to a </w:t>
      </w:r>
      <w:proofErr w:type="spellStart"/>
      <w:r w:rsidRPr="00702D2F">
        <w:rPr>
          <w:rFonts w:ascii="Arial" w:hAnsi="Arial" w:cs="Arial"/>
          <w:lang w:val="en-US"/>
        </w:rPr>
        <w:t>Schlenk</w:t>
      </w:r>
      <w:proofErr w:type="spellEnd"/>
      <w:r w:rsidRPr="00702D2F">
        <w:rPr>
          <w:rFonts w:ascii="Arial" w:hAnsi="Arial" w:cs="Arial"/>
          <w:lang w:val="en-US"/>
        </w:rPr>
        <w:t xml:space="preserve"> flask for quenching of items that have become contaminated while handling pyrophoric materials. Some examples included </w:t>
      </w:r>
      <w:proofErr w:type="spellStart"/>
      <w:r w:rsidRPr="00702D2F">
        <w:rPr>
          <w:rFonts w:ascii="Arial" w:hAnsi="Arial" w:cs="Arial"/>
          <w:lang w:val="en-US"/>
        </w:rPr>
        <w:t>MeLi</w:t>
      </w:r>
      <w:proofErr w:type="spellEnd"/>
      <w:r w:rsidRPr="00702D2F">
        <w:rPr>
          <w:rFonts w:ascii="Arial" w:hAnsi="Arial" w:cs="Arial"/>
          <w:lang w:val="en-US"/>
        </w:rPr>
        <w:t xml:space="preserve"> solution left in a syringe after use, Na powder on a frit removed from the glovebox, or alkali metals that adhere to a metal spatula. As long as the amount of pyrophoric material is small, it may be quenched by the careful addition of ice. The material should be added to a large quantity of ice. Because the ice both quenches and cools the reaction, it is advisable to add all the ice at once. When using this method, organic solvents should never be added to the quenching-mixture, as they would provide a source of flammable material that could be ignited. Once the material appears quenched, the ice bath should be allowed to melt and the contents stirred until it warms to 20 °C. The solution should be neutralized by the addition of citric or acetic acid if it is to be disposed of down the drain.</w:t>
      </w:r>
    </w:p>
    <w:p w14:paraId="5E53C3E6" w14:textId="77777777" w:rsidR="00E86C33" w:rsidRPr="006B0D7A" w:rsidRDefault="00E86C33" w:rsidP="00E86C33">
      <w:pPr>
        <w:rPr>
          <w:rFonts w:ascii="Arial" w:hAnsi="Arial" w:cs="Arial"/>
          <w:b/>
          <w:i/>
        </w:rPr>
      </w:pPr>
      <w:r w:rsidRPr="006B0D7A">
        <w:rPr>
          <w:rFonts w:ascii="Arial" w:hAnsi="Arial" w:cs="Arial"/>
          <w:b/>
          <w:i/>
        </w:rPr>
        <w:t xml:space="preserve">Section 2 – Hazardous Chemicals </w:t>
      </w:r>
    </w:p>
    <w:p w14:paraId="4E8F2A31" w14:textId="77777777" w:rsidR="006B0D7A" w:rsidRPr="006B0D7A" w:rsidRDefault="006B0D7A" w:rsidP="006B0D7A">
      <w:pPr>
        <w:pStyle w:val="ListParagraph"/>
        <w:numPr>
          <w:ilvl w:val="0"/>
          <w:numId w:val="2"/>
        </w:numPr>
        <w:rPr>
          <w:rFonts w:ascii="Arial" w:hAnsi="Arial" w:cs="Arial"/>
        </w:rPr>
      </w:pPr>
      <w:proofErr w:type="spellStart"/>
      <w:r w:rsidRPr="006B0D7A">
        <w:rPr>
          <w:rFonts w:ascii="Arial" w:hAnsi="Arial" w:cs="Arial"/>
          <w:b/>
          <w:i/>
        </w:rPr>
        <w:t>Organolithium</w:t>
      </w:r>
      <w:proofErr w:type="spellEnd"/>
      <w:r w:rsidRPr="006B0D7A">
        <w:rPr>
          <w:rFonts w:ascii="Arial" w:hAnsi="Arial" w:cs="Arial"/>
          <w:b/>
          <w:i/>
        </w:rPr>
        <w:t xml:space="preserve"> reagents</w:t>
      </w:r>
      <w:r w:rsidRPr="006B0D7A">
        <w:rPr>
          <w:rFonts w:ascii="Arial" w:hAnsi="Arial" w:cs="Arial"/>
        </w:rPr>
        <w:t xml:space="preserve"> - typically in hydrocarbon solvents. Note: </w:t>
      </w:r>
      <w:proofErr w:type="spellStart"/>
      <w:r w:rsidRPr="006B0D7A">
        <w:rPr>
          <w:rFonts w:ascii="Arial" w:hAnsi="Arial" w:cs="Arial"/>
          <w:i/>
        </w:rPr>
        <w:t>tert</w:t>
      </w:r>
      <w:r w:rsidRPr="006B0D7A">
        <w:rPr>
          <w:rFonts w:ascii="Arial" w:hAnsi="Arial" w:cs="Arial"/>
        </w:rPr>
        <w:t>-butyllithium</w:t>
      </w:r>
      <w:proofErr w:type="spellEnd"/>
      <w:r w:rsidRPr="006B0D7A">
        <w:rPr>
          <w:rFonts w:ascii="Arial" w:hAnsi="Arial" w:cs="Arial"/>
        </w:rPr>
        <w:t xml:space="preserve"> solutions are highly pyrophoric.</w:t>
      </w:r>
    </w:p>
    <w:p w14:paraId="65527942" w14:textId="77777777" w:rsidR="006B0D7A" w:rsidRPr="00E86C33" w:rsidRDefault="006B0D7A" w:rsidP="006B0D7A">
      <w:pPr>
        <w:pStyle w:val="ListParagraph"/>
        <w:numPr>
          <w:ilvl w:val="0"/>
          <w:numId w:val="2"/>
        </w:numPr>
        <w:rPr>
          <w:rFonts w:ascii="Arial" w:hAnsi="Arial" w:cs="Arial"/>
        </w:rPr>
      </w:pPr>
      <w:proofErr w:type="spellStart"/>
      <w:r w:rsidRPr="00E86C33">
        <w:rPr>
          <w:rFonts w:ascii="Arial" w:hAnsi="Arial" w:cs="Arial"/>
          <w:b/>
          <w:i/>
        </w:rPr>
        <w:t>Organomagnesium</w:t>
      </w:r>
      <w:proofErr w:type="spellEnd"/>
      <w:r w:rsidRPr="00E86C33">
        <w:rPr>
          <w:rFonts w:ascii="Arial" w:hAnsi="Arial" w:cs="Arial"/>
          <w:b/>
          <w:i/>
        </w:rPr>
        <w:t xml:space="preserve"> reagents</w:t>
      </w:r>
      <w:r w:rsidRPr="00E86C33">
        <w:rPr>
          <w:rFonts w:ascii="Arial" w:hAnsi="Arial" w:cs="Arial"/>
        </w:rPr>
        <w:t xml:space="preserve"> </w:t>
      </w:r>
      <w:r>
        <w:rPr>
          <w:rFonts w:ascii="Arial" w:hAnsi="Arial" w:cs="Arial"/>
        </w:rPr>
        <w:t xml:space="preserve">- </w:t>
      </w:r>
      <w:r w:rsidRPr="00E86C33">
        <w:rPr>
          <w:rFonts w:ascii="Arial" w:hAnsi="Arial" w:cs="Arial"/>
        </w:rPr>
        <w:t>includ</w:t>
      </w:r>
      <w:r>
        <w:rPr>
          <w:rFonts w:ascii="Arial" w:hAnsi="Arial" w:cs="Arial"/>
        </w:rPr>
        <w:t>ing Grignard r</w:t>
      </w:r>
      <w:r w:rsidRPr="00E86C33">
        <w:rPr>
          <w:rFonts w:ascii="Arial" w:hAnsi="Arial" w:cs="Arial"/>
        </w:rPr>
        <w:t>eagents (</w:t>
      </w:r>
      <w:proofErr w:type="spellStart"/>
      <w:r w:rsidRPr="00E86C33">
        <w:rPr>
          <w:rFonts w:ascii="Arial" w:hAnsi="Arial" w:cs="Arial"/>
        </w:rPr>
        <w:t>RMgX</w:t>
      </w:r>
      <w:proofErr w:type="spellEnd"/>
      <w:r w:rsidRPr="00E86C33">
        <w:rPr>
          <w:rFonts w:ascii="Arial" w:hAnsi="Arial" w:cs="Arial"/>
        </w:rPr>
        <w:t>) - Typically in hydrocarbon solvents. Neat reagents are pyrophoric.</w:t>
      </w:r>
    </w:p>
    <w:p w14:paraId="2802C28D" w14:textId="77777777" w:rsidR="006B0D7A" w:rsidRPr="00E86C33" w:rsidRDefault="006B0D7A" w:rsidP="006B0D7A">
      <w:pPr>
        <w:pStyle w:val="ListParagraph"/>
        <w:numPr>
          <w:ilvl w:val="0"/>
          <w:numId w:val="2"/>
        </w:numPr>
        <w:rPr>
          <w:rFonts w:ascii="Arial" w:hAnsi="Arial" w:cs="Arial"/>
        </w:rPr>
      </w:pPr>
      <w:proofErr w:type="spellStart"/>
      <w:r w:rsidRPr="00E86C33">
        <w:rPr>
          <w:rFonts w:ascii="Arial" w:hAnsi="Arial" w:cs="Arial"/>
          <w:b/>
          <w:i/>
        </w:rPr>
        <w:t>Organoaluminum</w:t>
      </w:r>
      <w:proofErr w:type="spellEnd"/>
      <w:r w:rsidRPr="00E86C33">
        <w:rPr>
          <w:rFonts w:ascii="Arial" w:hAnsi="Arial" w:cs="Arial"/>
          <w:b/>
          <w:i/>
        </w:rPr>
        <w:t xml:space="preserve"> reagents</w:t>
      </w:r>
      <w:r w:rsidRPr="00E86C33">
        <w:rPr>
          <w:rFonts w:ascii="Arial" w:hAnsi="Arial" w:cs="Arial"/>
        </w:rPr>
        <w:t xml:space="preserve"> - Neat or in hydrocarbon solvents. Neat reagents are highly pyrophoric.</w:t>
      </w:r>
    </w:p>
    <w:p w14:paraId="0CEE7271" w14:textId="77777777" w:rsidR="006B0D7A" w:rsidRPr="00E86C33" w:rsidRDefault="006B0D7A" w:rsidP="006B0D7A">
      <w:pPr>
        <w:pStyle w:val="ListParagraph"/>
        <w:numPr>
          <w:ilvl w:val="0"/>
          <w:numId w:val="2"/>
        </w:numPr>
        <w:rPr>
          <w:rFonts w:ascii="Arial" w:hAnsi="Arial" w:cs="Arial"/>
        </w:rPr>
      </w:pPr>
      <w:proofErr w:type="spellStart"/>
      <w:r w:rsidRPr="00E86C33">
        <w:rPr>
          <w:rFonts w:ascii="Arial" w:hAnsi="Arial" w:cs="Arial"/>
          <w:b/>
          <w:i/>
        </w:rPr>
        <w:t>Organozinc</w:t>
      </w:r>
      <w:proofErr w:type="spellEnd"/>
      <w:r w:rsidRPr="00E86C33">
        <w:rPr>
          <w:rFonts w:ascii="Arial" w:hAnsi="Arial" w:cs="Arial"/>
          <w:b/>
          <w:i/>
        </w:rPr>
        <w:t xml:space="preserve"> reagents</w:t>
      </w:r>
      <w:r w:rsidRPr="00E86C33">
        <w:rPr>
          <w:rFonts w:ascii="Arial" w:hAnsi="Arial" w:cs="Arial"/>
        </w:rPr>
        <w:t xml:space="preserve"> - Neat reagents are pyrophoric.</w:t>
      </w:r>
    </w:p>
    <w:p w14:paraId="32A91D03" w14:textId="77777777" w:rsidR="006B0D7A" w:rsidRDefault="006B0D7A" w:rsidP="006B0D7A">
      <w:pPr>
        <w:pStyle w:val="ListParagraph"/>
        <w:numPr>
          <w:ilvl w:val="0"/>
          <w:numId w:val="2"/>
        </w:numPr>
        <w:rPr>
          <w:rFonts w:ascii="Arial" w:hAnsi="Arial" w:cs="Arial"/>
        </w:rPr>
      </w:pPr>
      <w:r w:rsidRPr="00E86C33">
        <w:rPr>
          <w:rFonts w:ascii="Arial" w:hAnsi="Arial" w:cs="Arial"/>
          <w:b/>
          <w:i/>
        </w:rPr>
        <w:t>Boranes</w:t>
      </w:r>
      <w:r w:rsidRPr="00E86C33">
        <w:rPr>
          <w:rFonts w:ascii="Arial" w:hAnsi="Arial" w:cs="Arial"/>
        </w:rPr>
        <w:t xml:space="preserve"> - Neat reagents are pyrophoric.</w:t>
      </w:r>
    </w:p>
    <w:p w14:paraId="1CCACC44" w14:textId="77777777" w:rsidR="005D35DF" w:rsidRDefault="005D35DF" w:rsidP="005D35DF">
      <w:pPr>
        <w:pStyle w:val="ListParagraph"/>
        <w:numPr>
          <w:ilvl w:val="0"/>
          <w:numId w:val="2"/>
        </w:numPr>
        <w:rPr>
          <w:rFonts w:ascii="Arial" w:hAnsi="Arial" w:cs="Arial"/>
        </w:rPr>
      </w:pPr>
      <w:r w:rsidRPr="00702D2F">
        <w:rPr>
          <w:rFonts w:ascii="Arial" w:hAnsi="Arial" w:cs="Arial"/>
          <w:b/>
          <w:i/>
        </w:rPr>
        <w:t>Metal Hydrides</w:t>
      </w:r>
      <w:r>
        <w:rPr>
          <w:rFonts w:ascii="Arial" w:hAnsi="Arial" w:cs="Arial"/>
        </w:rPr>
        <w:t xml:space="preserve"> – </w:t>
      </w:r>
      <w:r w:rsidRPr="00702D2F">
        <w:rPr>
          <w:rFonts w:ascii="Arial" w:hAnsi="Arial" w:cs="Arial"/>
          <w:i/>
        </w:rPr>
        <w:t>e.g</w:t>
      </w:r>
      <w:r>
        <w:rPr>
          <w:rFonts w:ascii="Arial" w:hAnsi="Arial" w:cs="Arial"/>
        </w:rPr>
        <w:t>. CaH</w:t>
      </w:r>
      <w:r w:rsidRPr="00702D2F">
        <w:rPr>
          <w:rFonts w:ascii="Arial" w:hAnsi="Arial" w:cs="Arial"/>
          <w:vertAlign w:val="subscript"/>
        </w:rPr>
        <w:t>2</w:t>
      </w:r>
      <w:r>
        <w:rPr>
          <w:rFonts w:ascii="Arial" w:hAnsi="Arial" w:cs="Arial"/>
        </w:rPr>
        <w:t xml:space="preserve">, </w:t>
      </w:r>
      <w:proofErr w:type="spellStart"/>
      <w:r>
        <w:rPr>
          <w:rFonts w:ascii="Arial" w:hAnsi="Arial" w:cs="Arial"/>
        </w:rPr>
        <w:t>NaH</w:t>
      </w:r>
      <w:proofErr w:type="spellEnd"/>
    </w:p>
    <w:p w14:paraId="2B0B0DD1" w14:textId="77777777" w:rsidR="005D35DF" w:rsidRPr="005D35DF" w:rsidRDefault="005D35DF" w:rsidP="005D35DF">
      <w:pPr>
        <w:pStyle w:val="ListParagraph"/>
        <w:numPr>
          <w:ilvl w:val="0"/>
          <w:numId w:val="2"/>
        </w:numPr>
        <w:rPr>
          <w:rFonts w:ascii="Arial" w:hAnsi="Arial" w:cs="Arial"/>
        </w:rPr>
      </w:pPr>
      <w:r w:rsidRPr="00702D2F">
        <w:rPr>
          <w:rFonts w:ascii="Arial" w:hAnsi="Arial" w:cs="Arial"/>
          <w:b/>
          <w:i/>
        </w:rPr>
        <w:t>Group 1 metals</w:t>
      </w:r>
      <w:r>
        <w:rPr>
          <w:rFonts w:ascii="Arial" w:hAnsi="Arial" w:cs="Arial"/>
        </w:rPr>
        <w:t xml:space="preserve"> – Li, Na, K</w:t>
      </w:r>
    </w:p>
    <w:p w14:paraId="621DDED8" w14:textId="77777777" w:rsidR="00E86C33" w:rsidRPr="006B0D7A" w:rsidRDefault="00E86C33" w:rsidP="00E86C33">
      <w:pPr>
        <w:rPr>
          <w:rFonts w:ascii="Arial" w:hAnsi="Arial" w:cs="Arial"/>
          <w:b/>
          <w:i/>
        </w:rPr>
      </w:pPr>
      <w:r w:rsidRPr="006B0D7A">
        <w:rPr>
          <w:rFonts w:ascii="Arial" w:hAnsi="Arial" w:cs="Arial"/>
          <w:b/>
          <w:i/>
        </w:rPr>
        <w:t>Section 3 – Potential Hazards</w:t>
      </w:r>
    </w:p>
    <w:p w14:paraId="2EFAEF18" w14:textId="77777777" w:rsidR="00E86C33" w:rsidRPr="005509D1" w:rsidRDefault="00E86C33" w:rsidP="006B0D7A">
      <w:pPr>
        <w:jc w:val="both"/>
        <w:rPr>
          <w:rFonts w:ascii="Arial" w:hAnsi="Arial" w:cs="Arial"/>
        </w:rPr>
      </w:pPr>
      <w:r w:rsidRPr="005509D1">
        <w:rPr>
          <w:rFonts w:ascii="Arial" w:hAnsi="Arial" w:cs="Arial"/>
        </w:rPr>
        <w:t xml:space="preserve">When exposed to moisture or air in an uncontrolled manner, these reagents will ignite. Such fires may be smothered with sand or extinguished with a sand fire extinguisher. </w:t>
      </w:r>
    </w:p>
    <w:p w14:paraId="6BB33166" w14:textId="77777777" w:rsidR="00E86C33" w:rsidRPr="00E86C33" w:rsidRDefault="00E86C33" w:rsidP="006B0D7A">
      <w:pPr>
        <w:jc w:val="both"/>
        <w:rPr>
          <w:rFonts w:ascii="Arial" w:hAnsi="Arial" w:cs="Arial"/>
        </w:rPr>
      </w:pPr>
      <w:r w:rsidRPr="005509D1">
        <w:rPr>
          <w:rFonts w:ascii="Arial" w:hAnsi="Arial" w:cs="Arial"/>
        </w:rPr>
        <w:t>Incomplete quenching of pyrophoric materials may also result in a fire. If isopropanol has been added to the flask, even a small amount of unquenched material may be capable of igniting this solvent. As a result, it is essential that the material be completely consumed during the quenching process. This may be insured by stirring the mixture for a long time, and neutralizing the solution by the addition of acid.</w:t>
      </w:r>
    </w:p>
    <w:p w14:paraId="547B1369" w14:textId="77777777" w:rsidR="00E86C33" w:rsidRPr="006B0D7A" w:rsidRDefault="00E86C33" w:rsidP="00E86C33">
      <w:pPr>
        <w:rPr>
          <w:rFonts w:ascii="Arial" w:hAnsi="Arial" w:cs="Arial"/>
          <w:b/>
          <w:i/>
        </w:rPr>
      </w:pPr>
      <w:r w:rsidRPr="006B0D7A">
        <w:rPr>
          <w:rFonts w:ascii="Arial" w:hAnsi="Arial" w:cs="Arial"/>
          <w:b/>
          <w:i/>
        </w:rPr>
        <w:t>Section 4 – Approvals Required</w:t>
      </w:r>
    </w:p>
    <w:p w14:paraId="10A478A4" w14:textId="77777777" w:rsidR="00E86C33" w:rsidRPr="00E86C33" w:rsidRDefault="00E86C33" w:rsidP="00E86C33">
      <w:pPr>
        <w:rPr>
          <w:rFonts w:ascii="Arial" w:hAnsi="Arial" w:cs="Arial"/>
        </w:rPr>
      </w:pPr>
      <w:r w:rsidRPr="00E86C33">
        <w:rPr>
          <w:rFonts w:ascii="Arial" w:hAnsi="Arial" w:cs="Arial"/>
        </w:rPr>
        <w:t>Lab workers should be familiar with the procedure outlined herein, as well as the properties of the specific substance to be quenched.</w:t>
      </w:r>
      <w:r w:rsidR="006B0D7A">
        <w:rPr>
          <w:rFonts w:ascii="Arial" w:hAnsi="Arial" w:cs="Arial"/>
        </w:rPr>
        <w:t xml:space="preserve"> All COSHH regulations should be complied with including supervision by supervisor or experienced researcher on first occasion.</w:t>
      </w:r>
    </w:p>
    <w:p w14:paraId="10B4E8B9" w14:textId="77777777" w:rsidR="00E86C33" w:rsidRPr="006B0D7A" w:rsidRDefault="00E86C33" w:rsidP="00E86C33">
      <w:pPr>
        <w:rPr>
          <w:rFonts w:ascii="Arial" w:hAnsi="Arial" w:cs="Arial"/>
          <w:b/>
          <w:i/>
        </w:rPr>
      </w:pPr>
      <w:r w:rsidRPr="006B0D7A">
        <w:rPr>
          <w:rFonts w:ascii="Arial" w:hAnsi="Arial" w:cs="Arial"/>
          <w:b/>
          <w:i/>
        </w:rPr>
        <w:t>Section 5 – Designated Area</w:t>
      </w:r>
    </w:p>
    <w:p w14:paraId="0750BD14" w14:textId="77777777" w:rsidR="00E86C33" w:rsidRPr="00E86C33" w:rsidRDefault="00E86C33" w:rsidP="00E86C33">
      <w:pPr>
        <w:rPr>
          <w:rFonts w:ascii="Arial" w:hAnsi="Arial" w:cs="Arial"/>
        </w:rPr>
      </w:pPr>
      <w:r w:rsidRPr="00E86C33">
        <w:rPr>
          <w:rFonts w:ascii="Arial" w:hAnsi="Arial" w:cs="Arial"/>
        </w:rPr>
        <w:lastRenderedPageBreak/>
        <w:t>The procedure should be performed in a well-ventilated fume</w:t>
      </w:r>
      <w:r w:rsidR="006B0D7A">
        <w:rPr>
          <w:rFonts w:ascii="Arial" w:hAnsi="Arial" w:cs="Arial"/>
        </w:rPr>
        <w:t xml:space="preserve"> </w:t>
      </w:r>
      <w:r w:rsidRPr="00E86C33">
        <w:rPr>
          <w:rFonts w:ascii="Arial" w:hAnsi="Arial" w:cs="Arial"/>
        </w:rPr>
        <w:t xml:space="preserve">hood. The location of the proper fire extinguishers sand should be noted before starting the procedure. </w:t>
      </w:r>
    </w:p>
    <w:p w14:paraId="3F7260C3" w14:textId="77777777" w:rsidR="00E86C33" w:rsidRPr="006B0D7A" w:rsidRDefault="00E86C33" w:rsidP="00E86C33">
      <w:pPr>
        <w:rPr>
          <w:rFonts w:ascii="Arial" w:hAnsi="Arial" w:cs="Arial"/>
          <w:b/>
          <w:i/>
        </w:rPr>
      </w:pPr>
      <w:r w:rsidRPr="006B0D7A">
        <w:rPr>
          <w:rFonts w:ascii="Arial" w:hAnsi="Arial" w:cs="Arial"/>
          <w:b/>
          <w:i/>
        </w:rPr>
        <w:t>Section 6 – Special Handling Procedures and Storage Requirements</w:t>
      </w:r>
    </w:p>
    <w:p w14:paraId="21F6F108" w14:textId="77777777" w:rsidR="00E86C33" w:rsidRPr="00E86C33" w:rsidRDefault="00E86C33" w:rsidP="00E86C33">
      <w:pPr>
        <w:rPr>
          <w:rFonts w:ascii="Arial" w:hAnsi="Arial" w:cs="Arial"/>
        </w:rPr>
      </w:pPr>
      <w:r w:rsidRPr="00E86C33">
        <w:rPr>
          <w:rFonts w:ascii="Arial" w:hAnsi="Arial" w:cs="Arial"/>
        </w:rPr>
        <w:t>Process is to be performed under an atmosphere of nitrogen gas, or argon gas in the case of lithium metal.</w:t>
      </w:r>
    </w:p>
    <w:p w14:paraId="198991BB" w14:textId="77777777" w:rsidR="00E86C33" w:rsidRPr="006B0D7A" w:rsidRDefault="00E86C33" w:rsidP="00E86C33">
      <w:pPr>
        <w:rPr>
          <w:rFonts w:ascii="Arial" w:hAnsi="Arial" w:cs="Arial"/>
          <w:b/>
          <w:i/>
        </w:rPr>
      </w:pPr>
      <w:r w:rsidRPr="006B0D7A">
        <w:rPr>
          <w:rFonts w:ascii="Arial" w:hAnsi="Arial" w:cs="Arial"/>
          <w:b/>
          <w:i/>
        </w:rPr>
        <w:t>Section 7 – Personal Protective Equipment</w:t>
      </w:r>
    </w:p>
    <w:p w14:paraId="4DA873E5" w14:textId="77777777" w:rsidR="00E86C33" w:rsidRPr="00E86C33" w:rsidRDefault="00E86C33" w:rsidP="00E86C33">
      <w:pPr>
        <w:rPr>
          <w:rFonts w:ascii="Arial" w:hAnsi="Arial" w:cs="Arial"/>
        </w:rPr>
      </w:pPr>
      <w:r w:rsidRPr="00E86C33">
        <w:rPr>
          <w:rFonts w:ascii="Arial" w:hAnsi="Arial" w:cs="Arial"/>
        </w:rPr>
        <w:t xml:space="preserve">Proper laboratory clothing and eyewear. </w:t>
      </w:r>
      <w:r w:rsidR="006B0D7A">
        <w:rPr>
          <w:rFonts w:ascii="Arial" w:hAnsi="Arial" w:cs="Arial"/>
        </w:rPr>
        <w:t>Cotton</w:t>
      </w:r>
      <w:r w:rsidRPr="00E86C33">
        <w:rPr>
          <w:rFonts w:ascii="Arial" w:hAnsi="Arial" w:cs="Arial"/>
        </w:rPr>
        <w:t xml:space="preserve"> lab coats and relevant PPE.</w:t>
      </w:r>
    </w:p>
    <w:p w14:paraId="52730489" w14:textId="77777777" w:rsidR="00E86C33" w:rsidRPr="006B0D7A" w:rsidRDefault="00E86C33" w:rsidP="00E86C33">
      <w:pPr>
        <w:rPr>
          <w:rFonts w:ascii="Arial" w:hAnsi="Arial" w:cs="Arial"/>
          <w:b/>
          <w:i/>
        </w:rPr>
      </w:pPr>
      <w:r w:rsidRPr="006B0D7A">
        <w:rPr>
          <w:rFonts w:ascii="Arial" w:hAnsi="Arial" w:cs="Arial"/>
          <w:b/>
          <w:i/>
        </w:rPr>
        <w:t>Section 8 – Engineering/Ventilation Controls</w:t>
      </w:r>
    </w:p>
    <w:p w14:paraId="2181EEA3" w14:textId="77777777" w:rsidR="00E86C33" w:rsidRPr="00E86C33" w:rsidRDefault="00E86C33" w:rsidP="00E86C33">
      <w:pPr>
        <w:rPr>
          <w:rFonts w:ascii="Arial" w:hAnsi="Arial" w:cs="Arial"/>
        </w:rPr>
      </w:pPr>
      <w:r w:rsidRPr="00E86C33">
        <w:rPr>
          <w:rFonts w:ascii="Arial" w:hAnsi="Arial" w:cs="Arial"/>
        </w:rPr>
        <w:t>Process should be performed in a well-ventilated fume</w:t>
      </w:r>
      <w:r w:rsidR="006B0D7A">
        <w:rPr>
          <w:rFonts w:ascii="Arial" w:hAnsi="Arial" w:cs="Arial"/>
        </w:rPr>
        <w:t xml:space="preserve"> </w:t>
      </w:r>
      <w:r w:rsidRPr="00E86C33">
        <w:rPr>
          <w:rFonts w:ascii="Arial" w:hAnsi="Arial" w:cs="Arial"/>
        </w:rPr>
        <w:t>hood.</w:t>
      </w:r>
    </w:p>
    <w:p w14:paraId="10ACA827" w14:textId="77777777" w:rsidR="00E86C33" w:rsidRPr="006B0D7A" w:rsidRDefault="00E86C33" w:rsidP="00E86C33">
      <w:pPr>
        <w:rPr>
          <w:rFonts w:ascii="Arial" w:hAnsi="Arial" w:cs="Arial"/>
          <w:b/>
          <w:i/>
        </w:rPr>
      </w:pPr>
      <w:r w:rsidRPr="006B0D7A">
        <w:rPr>
          <w:rFonts w:ascii="Arial" w:hAnsi="Arial" w:cs="Arial"/>
          <w:b/>
          <w:i/>
        </w:rPr>
        <w:t>Section 9 – Spill and Accident Procedures</w:t>
      </w:r>
    </w:p>
    <w:p w14:paraId="4ABB97D7" w14:textId="77777777" w:rsidR="00E86C33" w:rsidRPr="00E86C33" w:rsidRDefault="00E86C33" w:rsidP="006B0D7A">
      <w:pPr>
        <w:jc w:val="both"/>
        <w:rPr>
          <w:rFonts w:ascii="Arial" w:hAnsi="Arial" w:cs="Arial"/>
        </w:rPr>
      </w:pPr>
      <w:r w:rsidRPr="00E86C33">
        <w:rPr>
          <w:rFonts w:ascii="Arial" w:hAnsi="Arial" w:cs="Arial"/>
        </w:rPr>
        <w:t xml:space="preserve">If the flask breaks during the quenching procedure, the material may be collected and transferred to a </w:t>
      </w:r>
      <w:proofErr w:type="spellStart"/>
      <w:r w:rsidRPr="00E86C33">
        <w:rPr>
          <w:rFonts w:ascii="Arial" w:hAnsi="Arial" w:cs="Arial"/>
        </w:rPr>
        <w:t>Schlenk</w:t>
      </w:r>
      <w:proofErr w:type="spellEnd"/>
      <w:r w:rsidRPr="00E86C33">
        <w:rPr>
          <w:rFonts w:ascii="Arial" w:hAnsi="Arial" w:cs="Arial"/>
        </w:rPr>
        <w:t xml:space="preserve"> flask with an inert-gas atmosphere.  To avoid spreading of the material in case this occurs, it is safest to double-contain the flask used for quenching.  If the mixture ignites while it is on the bench</w:t>
      </w:r>
      <w:r w:rsidR="006B0D7A">
        <w:rPr>
          <w:rFonts w:ascii="Arial" w:hAnsi="Arial" w:cs="Arial"/>
        </w:rPr>
        <w:t xml:space="preserve"> </w:t>
      </w:r>
      <w:r w:rsidRPr="00E86C33">
        <w:rPr>
          <w:rFonts w:ascii="Arial" w:hAnsi="Arial" w:cs="Arial"/>
        </w:rPr>
        <w:t xml:space="preserve">top or in the containment flask, either sand or </w:t>
      </w:r>
      <w:r w:rsidR="0024685E">
        <w:rPr>
          <w:rFonts w:ascii="Arial" w:hAnsi="Arial" w:cs="Arial"/>
        </w:rPr>
        <w:t>a powder</w:t>
      </w:r>
      <w:r w:rsidRPr="00E86C33">
        <w:rPr>
          <w:rFonts w:ascii="Arial" w:hAnsi="Arial" w:cs="Arial"/>
        </w:rPr>
        <w:t xml:space="preserve"> fire extinguisher may be used to put out the fire. </w:t>
      </w:r>
    </w:p>
    <w:p w14:paraId="19BCEB60" w14:textId="77777777" w:rsidR="00E86C33" w:rsidRPr="006B0D7A" w:rsidRDefault="00E86C33" w:rsidP="00E86C33">
      <w:pPr>
        <w:rPr>
          <w:rFonts w:ascii="Arial" w:hAnsi="Arial" w:cs="Arial"/>
          <w:b/>
          <w:i/>
        </w:rPr>
      </w:pPr>
      <w:r w:rsidRPr="006B0D7A">
        <w:rPr>
          <w:rFonts w:ascii="Arial" w:hAnsi="Arial" w:cs="Arial"/>
          <w:b/>
          <w:i/>
        </w:rPr>
        <w:t>Section 10 – Waste Disposal</w:t>
      </w:r>
    </w:p>
    <w:p w14:paraId="7F9E744C" w14:textId="77777777" w:rsidR="00E86C33" w:rsidRPr="00E86C33" w:rsidRDefault="00E86C33" w:rsidP="006B0D7A">
      <w:pPr>
        <w:jc w:val="both"/>
        <w:rPr>
          <w:rFonts w:ascii="Arial" w:hAnsi="Arial" w:cs="Arial"/>
        </w:rPr>
      </w:pPr>
      <w:r w:rsidRPr="00E86C33">
        <w:rPr>
          <w:rFonts w:ascii="Arial" w:hAnsi="Arial" w:cs="Arial"/>
        </w:rPr>
        <w:t xml:space="preserve">The waste may be removed as organic solvent waste. If only isopropanol and water have been used (i.e., no toluene is not contained in the flask) the neutralized waste may be disposed of down the drain. Check the current safety guidelines to ensure that the spent material may be poured into the sink. For example, if mercury or other heavy toxic metals are present in the mixture, the waste must be treated appropriately. </w:t>
      </w:r>
    </w:p>
    <w:p w14:paraId="7CE0912D" w14:textId="77777777" w:rsidR="00E86C33" w:rsidRPr="006B0D7A" w:rsidRDefault="00E86C33" w:rsidP="00E86C33">
      <w:pPr>
        <w:rPr>
          <w:rFonts w:ascii="Arial" w:hAnsi="Arial" w:cs="Arial"/>
          <w:b/>
          <w:i/>
        </w:rPr>
      </w:pPr>
      <w:r w:rsidRPr="006B0D7A">
        <w:rPr>
          <w:rFonts w:ascii="Arial" w:hAnsi="Arial" w:cs="Arial"/>
          <w:b/>
          <w:i/>
        </w:rPr>
        <w:t>Section 11 - Decontamination</w:t>
      </w:r>
    </w:p>
    <w:p w14:paraId="4E2E5811" w14:textId="77777777" w:rsidR="00E86C33" w:rsidRDefault="00E86C33" w:rsidP="00E86C33">
      <w:pPr>
        <w:rPr>
          <w:rFonts w:ascii="Arial" w:hAnsi="Arial" w:cs="Arial"/>
        </w:rPr>
      </w:pPr>
      <w:r w:rsidRPr="00E86C33">
        <w:rPr>
          <w:rFonts w:ascii="Arial" w:hAnsi="Arial" w:cs="Arial"/>
        </w:rPr>
        <w:t>The quenched material is safer to dispose of than the original pyrophoric material. Glassware used for the procedure may</w:t>
      </w:r>
      <w:r w:rsidR="001D49E4">
        <w:rPr>
          <w:rFonts w:ascii="Arial" w:hAnsi="Arial" w:cs="Arial"/>
        </w:rPr>
        <w:t xml:space="preserve"> be washed with soap and water.</w:t>
      </w:r>
    </w:p>
    <w:p w14:paraId="62F57398" w14:textId="77777777" w:rsidR="0024685E" w:rsidRPr="0024685E" w:rsidRDefault="0024685E" w:rsidP="00E86C33">
      <w:pPr>
        <w:rPr>
          <w:rFonts w:ascii="Arial" w:hAnsi="Arial" w:cs="Arial"/>
          <w:b/>
          <w:i/>
        </w:rPr>
      </w:pPr>
      <w:r w:rsidRPr="0024685E">
        <w:rPr>
          <w:rFonts w:ascii="Arial" w:hAnsi="Arial" w:cs="Arial"/>
          <w:b/>
          <w:i/>
        </w:rPr>
        <w:t>Section 12 – Process Steps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4032"/>
      </w:tblGrid>
      <w:tr w:rsidR="0024685E" w:rsidRPr="0024685E" w14:paraId="59916C26" w14:textId="77777777" w:rsidTr="0024685E">
        <w:tc>
          <w:tcPr>
            <w:tcW w:w="5040" w:type="dxa"/>
          </w:tcPr>
          <w:p w14:paraId="7D606BE0" w14:textId="77777777" w:rsidR="0024685E" w:rsidRPr="0024685E" w:rsidRDefault="0024685E" w:rsidP="0024685E">
            <w:pPr>
              <w:rPr>
                <w:rFonts w:ascii="Arial" w:hAnsi="Arial" w:cs="Arial"/>
                <w:i/>
                <w:lang w:val="en-US"/>
              </w:rPr>
            </w:pPr>
            <w:r w:rsidRPr="0024685E">
              <w:rPr>
                <w:rFonts w:ascii="Arial" w:hAnsi="Arial" w:cs="Arial"/>
                <w:i/>
                <w:lang w:val="en-US"/>
              </w:rPr>
              <w:t>Process Steps</w:t>
            </w:r>
          </w:p>
        </w:tc>
        <w:tc>
          <w:tcPr>
            <w:tcW w:w="4032" w:type="dxa"/>
          </w:tcPr>
          <w:p w14:paraId="77177286" w14:textId="77777777" w:rsidR="0024685E" w:rsidRPr="0024685E" w:rsidRDefault="0024685E" w:rsidP="0024685E">
            <w:pPr>
              <w:rPr>
                <w:rFonts w:ascii="Arial" w:hAnsi="Arial" w:cs="Arial"/>
                <w:i/>
                <w:lang w:val="en-US"/>
              </w:rPr>
            </w:pPr>
            <w:r w:rsidRPr="0024685E">
              <w:rPr>
                <w:rFonts w:ascii="Arial" w:hAnsi="Arial" w:cs="Arial"/>
                <w:i/>
                <w:lang w:val="en-US"/>
              </w:rPr>
              <w:t>Safety Measures</w:t>
            </w:r>
          </w:p>
        </w:tc>
      </w:tr>
      <w:tr w:rsidR="0024685E" w:rsidRPr="0024685E" w14:paraId="232B5D37" w14:textId="77777777" w:rsidTr="0024685E">
        <w:tc>
          <w:tcPr>
            <w:tcW w:w="5040" w:type="dxa"/>
          </w:tcPr>
          <w:p w14:paraId="3AEED62E" w14:textId="77777777" w:rsidR="0024685E" w:rsidRPr="0024685E" w:rsidRDefault="0024685E" w:rsidP="0024685E">
            <w:pPr>
              <w:rPr>
                <w:rFonts w:ascii="Arial" w:hAnsi="Arial" w:cs="Arial"/>
                <w:lang w:val="en-US"/>
              </w:rPr>
            </w:pPr>
            <w:r w:rsidRPr="0024685E">
              <w:rPr>
                <w:rFonts w:ascii="Arial" w:hAnsi="Arial" w:cs="Arial"/>
                <w:lang w:val="en-US"/>
              </w:rPr>
              <w:t>Place substance under an inert atmosphere.</w:t>
            </w:r>
          </w:p>
        </w:tc>
        <w:tc>
          <w:tcPr>
            <w:tcW w:w="4032" w:type="dxa"/>
          </w:tcPr>
          <w:p w14:paraId="779B7D85" w14:textId="77777777" w:rsidR="0024685E" w:rsidRPr="0024685E" w:rsidRDefault="0024685E" w:rsidP="0024685E">
            <w:pPr>
              <w:rPr>
                <w:rFonts w:ascii="Arial" w:hAnsi="Arial" w:cs="Arial"/>
                <w:lang w:val="en-US"/>
              </w:rPr>
            </w:pPr>
            <w:r w:rsidRPr="0024685E">
              <w:rPr>
                <w:rFonts w:ascii="Arial" w:hAnsi="Arial" w:cs="Arial"/>
                <w:lang w:val="en-US"/>
              </w:rPr>
              <w:t>Use a bubbler to prevent the flask from over pressurizing.</w:t>
            </w:r>
          </w:p>
        </w:tc>
      </w:tr>
      <w:tr w:rsidR="0024685E" w:rsidRPr="0024685E" w14:paraId="29F31280" w14:textId="77777777" w:rsidTr="0024685E">
        <w:tc>
          <w:tcPr>
            <w:tcW w:w="5040" w:type="dxa"/>
          </w:tcPr>
          <w:p w14:paraId="51A3D13C" w14:textId="77777777" w:rsidR="0024685E" w:rsidRPr="0024685E" w:rsidRDefault="0024685E" w:rsidP="0024685E">
            <w:pPr>
              <w:rPr>
                <w:rFonts w:ascii="Arial" w:hAnsi="Arial" w:cs="Arial"/>
                <w:lang w:val="en-US"/>
              </w:rPr>
            </w:pPr>
            <w:r w:rsidRPr="0024685E">
              <w:rPr>
                <w:rFonts w:ascii="Arial" w:hAnsi="Arial" w:cs="Arial"/>
                <w:lang w:val="en-US"/>
              </w:rPr>
              <w:t>Cool mixture with an external ice bath.</w:t>
            </w:r>
          </w:p>
        </w:tc>
        <w:tc>
          <w:tcPr>
            <w:tcW w:w="4032" w:type="dxa"/>
          </w:tcPr>
          <w:p w14:paraId="149EC4DD" w14:textId="77777777" w:rsidR="0024685E" w:rsidRPr="0024685E" w:rsidRDefault="0024685E" w:rsidP="0024685E">
            <w:pPr>
              <w:rPr>
                <w:rFonts w:ascii="Arial" w:hAnsi="Arial" w:cs="Arial"/>
                <w:lang w:val="en-US"/>
              </w:rPr>
            </w:pPr>
            <w:r w:rsidRPr="0024685E">
              <w:rPr>
                <w:rFonts w:ascii="Arial" w:hAnsi="Arial" w:cs="Arial"/>
                <w:lang w:val="en-US"/>
              </w:rPr>
              <w:t>None.</w:t>
            </w:r>
          </w:p>
        </w:tc>
      </w:tr>
      <w:tr w:rsidR="0024685E" w:rsidRPr="0024685E" w14:paraId="18D2F2F5" w14:textId="77777777" w:rsidTr="0024685E">
        <w:trPr>
          <w:trHeight w:val="710"/>
        </w:trPr>
        <w:tc>
          <w:tcPr>
            <w:tcW w:w="5040" w:type="dxa"/>
          </w:tcPr>
          <w:p w14:paraId="6D198586" w14:textId="77777777" w:rsidR="0024685E" w:rsidRPr="0024685E" w:rsidRDefault="0024685E" w:rsidP="0024685E">
            <w:pPr>
              <w:rPr>
                <w:rFonts w:ascii="Arial" w:hAnsi="Arial" w:cs="Arial"/>
                <w:lang w:val="en-US"/>
              </w:rPr>
            </w:pPr>
            <w:r w:rsidRPr="0024685E">
              <w:rPr>
                <w:rFonts w:ascii="Arial" w:hAnsi="Arial" w:cs="Arial"/>
                <w:lang w:val="en-US"/>
              </w:rPr>
              <w:t>Slowly add isopropanol to the mixture.</w:t>
            </w:r>
          </w:p>
        </w:tc>
        <w:tc>
          <w:tcPr>
            <w:tcW w:w="4032" w:type="dxa"/>
          </w:tcPr>
          <w:p w14:paraId="07245B65" w14:textId="77777777" w:rsidR="0024685E" w:rsidRPr="0024685E" w:rsidRDefault="0024685E" w:rsidP="0024685E">
            <w:pPr>
              <w:rPr>
                <w:rFonts w:ascii="Arial" w:hAnsi="Arial" w:cs="Arial"/>
                <w:lang w:val="en-US"/>
              </w:rPr>
            </w:pPr>
            <w:r w:rsidRPr="0024685E">
              <w:rPr>
                <w:rFonts w:ascii="Arial" w:hAnsi="Arial" w:cs="Arial"/>
                <w:lang w:val="en-US"/>
              </w:rPr>
              <w:t xml:space="preserve">Keep the mixture cold: if the mixture becomes hot stop the addition, and wait for it to cool. </w:t>
            </w:r>
          </w:p>
        </w:tc>
      </w:tr>
      <w:tr w:rsidR="0024685E" w:rsidRPr="0024685E" w14:paraId="5A9FF2D3" w14:textId="77777777" w:rsidTr="0024685E">
        <w:tc>
          <w:tcPr>
            <w:tcW w:w="5040" w:type="dxa"/>
          </w:tcPr>
          <w:p w14:paraId="6FBF5C7F" w14:textId="77777777" w:rsidR="0024685E" w:rsidRPr="0024685E" w:rsidRDefault="0024685E" w:rsidP="0024685E">
            <w:pPr>
              <w:rPr>
                <w:rFonts w:ascii="Arial" w:hAnsi="Arial" w:cs="Arial"/>
                <w:lang w:val="en-US"/>
              </w:rPr>
            </w:pPr>
            <w:r w:rsidRPr="0024685E">
              <w:rPr>
                <w:rFonts w:ascii="Arial" w:hAnsi="Arial" w:cs="Arial"/>
                <w:lang w:val="en-US"/>
              </w:rPr>
              <w:t>Cautiously add water.</w:t>
            </w:r>
          </w:p>
        </w:tc>
        <w:tc>
          <w:tcPr>
            <w:tcW w:w="4032" w:type="dxa"/>
          </w:tcPr>
          <w:p w14:paraId="1B4C5685" w14:textId="77777777" w:rsidR="0024685E" w:rsidRPr="0024685E" w:rsidRDefault="0024685E" w:rsidP="0024685E">
            <w:pPr>
              <w:rPr>
                <w:rFonts w:ascii="Arial" w:hAnsi="Arial" w:cs="Arial"/>
                <w:lang w:val="en-US"/>
              </w:rPr>
            </w:pPr>
            <w:r w:rsidRPr="0024685E">
              <w:rPr>
                <w:rFonts w:ascii="Arial" w:hAnsi="Arial" w:cs="Arial"/>
                <w:lang w:val="en-US"/>
              </w:rPr>
              <w:t xml:space="preserve">Keep the mixture cold: if the mixture becomes hot stop the addition, and </w:t>
            </w:r>
            <w:r w:rsidRPr="0024685E">
              <w:rPr>
                <w:rFonts w:ascii="Arial" w:hAnsi="Arial" w:cs="Arial"/>
                <w:lang w:val="en-US"/>
              </w:rPr>
              <w:lastRenderedPageBreak/>
              <w:t xml:space="preserve">wait for it to cool. </w:t>
            </w:r>
          </w:p>
        </w:tc>
      </w:tr>
      <w:tr w:rsidR="0024685E" w:rsidRPr="0024685E" w14:paraId="402BC611" w14:textId="77777777" w:rsidTr="0024685E">
        <w:tc>
          <w:tcPr>
            <w:tcW w:w="5040" w:type="dxa"/>
          </w:tcPr>
          <w:p w14:paraId="45335F92" w14:textId="77777777" w:rsidR="0024685E" w:rsidRPr="0024685E" w:rsidRDefault="0024685E" w:rsidP="0024685E">
            <w:pPr>
              <w:rPr>
                <w:rFonts w:ascii="Arial" w:hAnsi="Arial" w:cs="Arial"/>
                <w:lang w:val="en-US"/>
              </w:rPr>
            </w:pPr>
            <w:r w:rsidRPr="0024685E">
              <w:rPr>
                <w:rFonts w:ascii="Arial" w:hAnsi="Arial" w:cs="Arial"/>
                <w:lang w:val="en-US"/>
              </w:rPr>
              <w:lastRenderedPageBreak/>
              <w:t xml:space="preserve">Stir for 6 hours or longer to ensure all pyrophoric material has been quenched. </w:t>
            </w:r>
          </w:p>
        </w:tc>
        <w:tc>
          <w:tcPr>
            <w:tcW w:w="4032" w:type="dxa"/>
          </w:tcPr>
          <w:p w14:paraId="5EE6327D" w14:textId="77777777" w:rsidR="0024685E" w:rsidRPr="0024685E" w:rsidRDefault="0024685E" w:rsidP="0024685E">
            <w:pPr>
              <w:rPr>
                <w:rFonts w:ascii="Arial" w:hAnsi="Arial" w:cs="Arial"/>
                <w:lang w:val="en-US"/>
              </w:rPr>
            </w:pPr>
            <w:r w:rsidRPr="0024685E">
              <w:rPr>
                <w:rFonts w:ascii="Arial" w:hAnsi="Arial" w:cs="Arial"/>
                <w:lang w:val="en-US"/>
              </w:rPr>
              <w:t xml:space="preserve">Monitor the mixture to ensure that it does not become warmer than 20 °C. </w:t>
            </w:r>
          </w:p>
        </w:tc>
      </w:tr>
      <w:tr w:rsidR="0024685E" w:rsidRPr="0024685E" w14:paraId="12527A4E" w14:textId="77777777" w:rsidTr="0024685E">
        <w:tc>
          <w:tcPr>
            <w:tcW w:w="5040" w:type="dxa"/>
          </w:tcPr>
          <w:p w14:paraId="6A5A6027" w14:textId="77777777" w:rsidR="0024685E" w:rsidRPr="0024685E" w:rsidRDefault="0024685E" w:rsidP="0024685E">
            <w:pPr>
              <w:rPr>
                <w:rFonts w:ascii="Arial" w:hAnsi="Arial" w:cs="Arial"/>
                <w:lang w:val="en-US"/>
              </w:rPr>
            </w:pPr>
            <w:r w:rsidRPr="0024685E">
              <w:rPr>
                <w:rFonts w:ascii="Arial" w:hAnsi="Arial" w:cs="Arial"/>
                <w:lang w:val="en-US"/>
              </w:rPr>
              <w:t>Add acetic or citric acid to neutralize the solution.</w:t>
            </w:r>
          </w:p>
        </w:tc>
        <w:tc>
          <w:tcPr>
            <w:tcW w:w="4032" w:type="dxa"/>
          </w:tcPr>
          <w:p w14:paraId="28279A2D" w14:textId="77777777" w:rsidR="0024685E" w:rsidRPr="0024685E" w:rsidRDefault="0024685E" w:rsidP="0024685E">
            <w:pPr>
              <w:rPr>
                <w:rFonts w:ascii="Arial" w:hAnsi="Arial" w:cs="Arial"/>
                <w:b/>
                <w:lang w:val="en-US"/>
              </w:rPr>
            </w:pPr>
            <w:r w:rsidRPr="0024685E">
              <w:rPr>
                <w:rFonts w:ascii="Arial" w:hAnsi="Arial" w:cs="Arial"/>
                <w:lang w:val="en-US"/>
              </w:rPr>
              <w:t>If unquenched material remains, it may react violently. Monitor the temperature of the mixture.</w:t>
            </w:r>
          </w:p>
        </w:tc>
      </w:tr>
      <w:tr w:rsidR="0024685E" w:rsidRPr="0024685E" w14:paraId="181D038E" w14:textId="77777777" w:rsidTr="0024685E">
        <w:tc>
          <w:tcPr>
            <w:tcW w:w="5040" w:type="dxa"/>
          </w:tcPr>
          <w:p w14:paraId="012AC088" w14:textId="77777777" w:rsidR="0024685E" w:rsidRPr="0024685E" w:rsidRDefault="0024685E" w:rsidP="0024685E">
            <w:pPr>
              <w:rPr>
                <w:rFonts w:ascii="Arial" w:hAnsi="Arial" w:cs="Arial"/>
                <w:lang w:val="en-US"/>
              </w:rPr>
            </w:pPr>
            <w:r w:rsidRPr="0024685E">
              <w:rPr>
                <w:rFonts w:ascii="Arial" w:hAnsi="Arial" w:cs="Arial"/>
                <w:lang w:val="en-US"/>
              </w:rPr>
              <w:t>Remove the inert atmosphere, and dispose of waste.</w:t>
            </w:r>
          </w:p>
        </w:tc>
        <w:tc>
          <w:tcPr>
            <w:tcW w:w="4032" w:type="dxa"/>
          </w:tcPr>
          <w:p w14:paraId="6028CBBD" w14:textId="77777777" w:rsidR="0024685E" w:rsidRPr="0024685E" w:rsidRDefault="0024685E" w:rsidP="0024685E">
            <w:pPr>
              <w:rPr>
                <w:rFonts w:ascii="Arial" w:hAnsi="Arial" w:cs="Arial"/>
                <w:lang w:val="en-US"/>
              </w:rPr>
            </w:pPr>
            <w:r w:rsidRPr="0024685E">
              <w:rPr>
                <w:rFonts w:ascii="Arial" w:hAnsi="Arial" w:cs="Arial"/>
                <w:lang w:val="en-US"/>
              </w:rPr>
              <w:t>Know location of fire extinguishers for use in the event that the mixture ignites.</w:t>
            </w:r>
          </w:p>
        </w:tc>
      </w:tr>
    </w:tbl>
    <w:p w14:paraId="2C1E2120" w14:textId="5137E251" w:rsidR="001D49E4" w:rsidRPr="00E86C33" w:rsidRDefault="001D49E4" w:rsidP="0024685E">
      <w:pPr>
        <w:spacing w:before="240"/>
        <w:jc w:val="right"/>
        <w:rPr>
          <w:rFonts w:ascii="Arial" w:hAnsi="Arial" w:cs="Arial"/>
        </w:rPr>
      </w:pPr>
      <w:r>
        <w:rPr>
          <w:rFonts w:ascii="Arial" w:hAnsi="Arial" w:cs="Arial"/>
        </w:rPr>
        <w:t xml:space="preserve">Alan C. Spivey </w:t>
      </w:r>
      <w:r w:rsidR="005F73A1">
        <w:rPr>
          <w:rFonts w:ascii="Arial" w:hAnsi="Arial" w:cs="Arial"/>
        </w:rPr>
        <w:t>13/09/2021</w:t>
      </w:r>
      <w:bookmarkStart w:id="0" w:name="_GoBack"/>
      <w:bookmarkEnd w:id="0"/>
    </w:p>
    <w:p w14:paraId="1AE9877E" w14:textId="77777777" w:rsidR="00DF6246" w:rsidRPr="006B0D7A" w:rsidRDefault="00E86C33" w:rsidP="00E86C33">
      <w:pPr>
        <w:rPr>
          <w:rFonts w:ascii="Arial" w:hAnsi="Arial" w:cs="Arial"/>
          <w:b/>
          <w:i/>
        </w:rPr>
      </w:pPr>
      <w:r w:rsidRPr="006B0D7A">
        <w:rPr>
          <w:rFonts w:ascii="Arial" w:hAnsi="Arial" w:cs="Arial"/>
          <w:b/>
          <w:i/>
        </w:rPr>
        <w:t>Training Documentation</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4320"/>
        <w:gridCol w:w="1800"/>
      </w:tblGrid>
      <w:tr w:rsidR="006B0D7A" w14:paraId="79A0F602" w14:textId="77777777" w:rsidTr="00843D29">
        <w:tc>
          <w:tcPr>
            <w:tcW w:w="3960" w:type="dxa"/>
          </w:tcPr>
          <w:p w14:paraId="0BFFAF77" w14:textId="77777777" w:rsidR="006B0D7A" w:rsidRPr="006B0D7A" w:rsidRDefault="006B0D7A" w:rsidP="00843D29">
            <w:pPr>
              <w:rPr>
                <w:rFonts w:ascii="Arial" w:hAnsi="Arial" w:cs="Arial"/>
                <w:b/>
              </w:rPr>
            </w:pPr>
            <w:r w:rsidRPr="006B0D7A">
              <w:rPr>
                <w:rFonts w:ascii="Arial" w:hAnsi="Arial" w:cs="Arial"/>
                <w:b/>
              </w:rPr>
              <w:t>Name (Printed)</w:t>
            </w:r>
          </w:p>
        </w:tc>
        <w:tc>
          <w:tcPr>
            <w:tcW w:w="4320" w:type="dxa"/>
          </w:tcPr>
          <w:p w14:paraId="6AFB0EAB" w14:textId="77777777" w:rsidR="006B0D7A" w:rsidRPr="006B0D7A" w:rsidRDefault="006B0D7A" w:rsidP="00843D29">
            <w:pPr>
              <w:rPr>
                <w:rFonts w:ascii="Arial" w:hAnsi="Arial" w:cs="Arial"/>
                <w:b/>
              </w:rPr>
            </w:pPr>
            <w:r w:rsidRPr="006B0D7A">
              <w:rPr>
                <w:rFonts w:ascii="Arial" w:hAnsi="Arial" w:cs="Arial"/>
                <w:b/>
              </w:rPr>
              <w:t>Signature</w:t>
            </w:r>
          </w:p>
        </w:tc>
        <w:tc>
          <w:tcPr>
            <w:tcW w:w="1800" w:type="dxa"/>
          </w:tcPr>
          <w:p w14:paraId="3C6E96EE" w14:textId="77777777" w:rsidR="006B0D7A" w:rsidRPr="006B0D7A" w:rsidRDefault="006B0D7A" w:rsidP="00843D29">
            <w:pPr>
              <w:rPr>
                <w:rFonts w:ascii="Arial" w:hAnsi="Arial" w:cs="Arial"/>
                <w:b/>
              </w:rPr>
            </w:pPr>
            <w:r w:rsidRPr="006B0D7A">
              <w:rPr>
                <w:rFonts w:ascii="Arial" w:hAnsi="Arial" w:cs="Arial"/>
                <w:b/>
              </w:rPr>
              <w:t>Date</w:t>
            </w:r>
          </w:p>
        </w:tc>
      </w:tr>
      <w:tr w:rsidR="006B0D7A" w14:paraId="7A5705D3" w14:textId="77777777" w:rsidTr="00843D29">
        <w:tc>
          <w:tcPr>
            <w:tcW w:w="3960" w:type="dxa"/>
          </w:tcPr>
          <w:p w14:paraId="2F0AAADB" w14:textId="77777777" w:rsidR="006B0D7A" w:rsidRPr="00464309" w:rsidRDefault="006B0D7A" w:rsidP="00843D29"/>
        </w:tc>
        <w:tc>
          <w:tcPr>
            <w:tcW w:w="4320" w:type="dxa"/>
          </w:tcPr>
          <w:p w14:paraId="47495E69" w14:textId="77777777" w:rsidR="006B0D7A" w:rsidRPr="00464309" w:rsidRDefault="006B0D7A" w:rsidP="00843D29"/>
        </w:tc>
        <w:tc>
          <w:tcPr>
            <w:tcW w:w="1800" w:type="dxa"/>
          </w:tcPr>
          <w:p w14:paraId="64B7CD97" w14:textId="77777777" w:rsidR="006B0D7A" w:rsidRPr="00464309" w:rsidRDefault="006B0D7A" w:rsidP="00843D29"/>
        </w:tc>
      </w:tr>
      <w:tr w:rsidR="006B0D7A" w14:paraId="40AC5830" w14:textId="77777777" w:rsidTr="00843D29">
        <w:tc>
          <w:tcPr>
            <w:tcW w:w="3960" w:type="dxa"/>
          </w:tcPr>
          <w:p w14:paraId="77876609" w14:textId="77777777" w:rsidR="006B0D7A" w:rsidRPr="00464309" w:rsidRDefault="006B0D7A" w:rsidP="00843D29"/>
        </w:tc>
        <w:tc>
          <w:tcPr>
            <w:tcW w:w="4320" w:type="dxa"/>
          </w:tcPr>
          <w:p w14:paraId="2062672D" w14:textId="77777777" w:rsidR="006B0D7A" w:rsidRPr="00464309" w:rsidRDefault="006B0D7A" w:rsidP="00843D29"/>
        </w:tc>
        <w:tc>
          <w:tcPr>
            <w:tcW w:w="1800" w:type="dxa"/>
          </w:tcPr>
          <w:p w14:paraId="7A1CDF38" w14:textId="77777777" w:rsidR="006B0D7A" w:rsidRPr="00464309" w:rsidRDefault="006B0D7A" w:rsidP="00843D29"/>
        </w:tc>
      </w:tr>
      <w:tr w:rsidR="006B0D7A" w14:paraId="5A0A55C1" w14:textId="77777777" w:rsidTr="00843D29">
        <w:tc>
          <w:tcPr>
            <w:tcW w:w="3960" w:type="dxa"/>
          </w:tcPr>
          <w:p w14:paraId="2EBFF232" w14:textId="77777777" w:rsidR="006B0D7A" w:rsidRPr="00464309" w:rsidRDefault="006B0D7A" w:rsidP="00843D29"/>
        </w:tc>
        <w:tc>
          <w:tcPr>
            <w:tcW w:w="4320" w:type="dxa"/>
          </w:tcPr>
          <w:p w14:paraId="14BB29F4" w14:textId="77777777" w:rsidR="006B0D7A" w:rsidRPr="00464309" w:rsidRDefault="006B0D7A" w:rsidP="00843D29"/>
        </w:tc>
        <w:tc>
          <w:tcPr>
            <w:tcW w:w="1800" w:type="dxa"/>
          </w:tcPr>
          <w:p w14:paraId="6B453B8C" w14:textId="77777777" w:rsidR="006B0D7A" w:rsidRPr="00464309" w:rsidRDefault="006B0D7A" w:rsidP="00843D29"/>
        </w:tc>
      </w:tr>
      <w:tr w:rsidR="006B0D7A" w14:paraId="193D58D7" w14:textId="77777777" w:rsidTr="00843D29">
        <w:tc>
          <w:tcPr>
            <w:tcW w:w="3960" w:type="dxa"/>
          </w:tcPr>
          <w:p w14:paraId="5988BC88" w14:textId="77777777" w:rsidR="006B0D7A" w:rsidRPr="00464309" w:rsidRDefault="006B0D7A" w:rsidP="00843D29"/>
        </w:tc>
        <w:tc>
          <w:tcPr>
            <w:tcW w:w="4320" w:type="dxa"/>
          </w:tcPr>
          <w:p w14:paraId="6DB58B10" w14:textId="77777777" w:rsidR="006B0D7A" w:rsidRPr="00464309" w:rsidRDefault="006B0D7A" w:rsidP="00843D29"/>
        </w:tc>
        <w:tc>
          <w:tcPr>
            <w:tcW w:w="1800" w:type="dxa"/>
          </w:tcPr>
          <w:p w14:paraId="68A4E6F6" w14:textId="77777777" w:rsidR="006B0D7A" w:rsidRPr="00464309" w:rsidRDefault="006B0D7A" w:rsidP="00843D29"/>
        </w:tc>
      </w:tr>
      <w:tr w:rsidR="006B0D7A" w14:paraId="63EE8CA4" w14:textId="77777777" w:rsidTr="00843D29">
        <w:tc>
          <w:tcPr>
            <w:tcW w:w="3960" w:type="dxa"/>
          </w:tcPr>
          <w:p w14:paraId="6185F20A" w14:textId="77777777" w:rsidR="006B0D7A" w:rsidRPr="00464309" w:rsidRDefault="006B0D7A" w:rsidP="00843D29"/>
        </w:tc>
        <w:tc>
          <w:tcPr>
            <w:tcW w:w="4320" w:type="dxa"/>
          </w:tcPr>
          <w:p w14:paraId="6AA363D7" w14:textId="77777777" w:rsidR="006B0D7A" w:rsidRPr="00464309" w:rsidRDefault="006B0D7A" w:rsidP="00843D29"/>
        </w:tc>
        <w:tc>
          <w:tcPr>
            <w:tcW w:w="1800" w:type="dxa"/>
          </w:tcPr>
          <w:p w14:paraId="193A12C3" w14:textId="77777777" w:rsidR="006B0D7A" w:rsidRPr="00464309" w:rsidRDefault="006B0D7A" w:rsidP="00843D29"/>
        </w:tc>
      </w:tr>
      <w:tr w:rsidR="006B0D7A" w14:paraId="697831C9" w14:textId="77777777" w:rsidTr="00843D29">
        <w:tc>
          <w:tcPr>
            <w:tcW w:w="3960" w:type="dxa"/>
          </w:tcPr>
          <w:p w14:paraId="51966C8F" w14:textId="77777777" w:rsidR="006B0D7A" w:rsidRPr="00464309" w:rsidRDefault="006B0D7A" w:rsidP="00843D29"/>
        </w:tc>
        <w:tc>
          <w:tcPr>
            <w:tcW w:w="4320" w:type="dxa"/>
          </w:tcPr>
          <w:p w14:paraId="12CF82E4" w14:textId="77777777" w:rsidR="006B0D7A" w:rsidRPr="00464309" w:rsidRDefault="006B0D7A" w:rsidP="00843D29"/>
        </w:tc>
        <w:tc>
          <w:tcPr>
            <w:tcW w:w="1800" w:type="dxa"/>
          </w:tcPr>
          <w:p w14:paraId="3DDD2F9B" w14:textId="77777777" w:rsidR="006B0D7A" w:rsidRPr="00464309" w:rsidRDefault="006B0D7A" w:rsidP="00843D29"/>
        </w:tc>
      </w:tr>
      <w:tr w:rsidR="006B0D7A" w14:paraId="48240545" w14:textId="77777777" w:rsidTr="00843D29">
        <w:tc>
          <w:tcPr>
            <w:tcW w:w="3960" w:type="dxa"/>
          </w:tcPr>
          <w:p w14:paraId="431ADC1D" w14:textId="77777777" w:rsidR="006B0D7A" w:rsidRPr="00464309" w:rsidRDefault="006B0D7A" w:rsidP="00843D29"/>
        </w:tc>
        <w:tc>
          <w:tcPr>
            <w:tcW w:w="4320" w:type="dxa"/>
          </w:tcPr>
          <w:p w14:paraId="787B142E" w14:textId="77777777" w:rsidR="006B0D7A" w:rsidRPr="00464309" w:rsidRDefault="006B0D7A" w:rsidP="00843D29"/>
        </w:tc>
        <w:tc>
          <w:tcPr>
            <w:tcW w:w="1800" w:type="dxa"/>
          </w:tcPr>
          <w:p w14:paraId="24C22C23" w14:textId="77777777" w:rsidR="006B0D7A" w:rsidRPr="00464309" w:rsidRDefault="006B0D7A" w:rsidP="00843D29"/>
        </w:tc>
      </w:tr>
      <w:tr w:rsidR="006B0D7A" w14:paraId="6AA2995A" w14:textId="77777777" w:rsidTr="00843D29">
        <w:tc>
          <w:tcPr>
            <w:tcW w:w="3960" w:type="dxa"/>
          </w:tcPr>
          <w:p w14:paraId="28EAF7A4" w14:textId="77777777" w:rsidR="006B0D7A" w:rsidRPr="00464309" w:rsidRDefault="006B0D7A" w:rsidP="00843D29"/>
        </w:tc>
        <w:tc>
          <w:tcPr>
            <w:tcW w:w="4320" w:type="dxa"/>
          </w:tcPr>
          <w:p w14:paraId="592B24AB" w14:textId="77777777" w:rsidR="006B0D7A" w:rsidRPr="00464309" w:rsidRDefault="006B0D7A" w:rsidP="00843D29"/>
        </w:tc>
        <w:tc>
          <w:tcPr>
            <w:tcW w:w="1800" w:type="dxa"/>
          </w:tcPr>
          <w:p w14:paraId="672AA902" w14:textId="77777777" w:rsidR="006B0D7A" w:rsidRPr="00464309" w:rsidRDefault="006B0D7A" w:rsidP="00843D29"/>
        </w:tc>
      </w:tr>
      <w:tr w:rsidR="006B0D7A" w14:paraId="2B6D42D8" w14:textId="77777777" w:rsidTr="00843D29">
        <w:tc>
          <w:tcPr>
            <w:tcW w:w="3960" w:type="dxa"/>
          </w:tcPr>
          <w:p w14:paraId="7AE1F38C" w14:textId="77777777" w:rsidR="006B0D7A" w:rsidRPr="00464309" w:rsidRDefault="006B0D7A" w:rsidP="00843D29"/>
        </w:tc>
        <w:tc>
          <w:tcPr>
            <w:tcW w:w="4320" w:type="dxa"/>
          </w:tcPr>
          <w:p w14:paraId="49494A9A" w14:textId="77777777" w:rsidR="006B0D7A" w:rsidRPr="00464309" w:rsidRDefault="006B0D7A" w:rsidP="00843D29"/>
        </w:tc>
        <w:tc>
          <w:tcPr>
            <w:tcW w:w="1800" w:type="dxa"/>
          </w:tcPr>
          <w:p w14:paraId="1BBFE2D2" w14:textId="77777777" w:rsidR="006B0D7A" w:rsidRPr="00464309" w:rsidRDefault="006B0D7A" w:rsidP="00843D29"/>
        </w:tc>
      </w:tr>
      <w:tr w:rsidR="006B0D7A" w14:paraId="039B5054" w14:textId="77777777" w:rsidTr="00843D29">
        <w:tc>
          <w:tcPr>
            <w:tcW w:w="3960" w:type="dxa"/>
          </w:tcPr>
          <w:p w14:paraId="19AA26EC" w14:textId="77777777" w:rsidR="006B0D7A" w:rsidRPr="00464309" w:rsidRDefault="006B0D7A" w:rsidP="00843D29"/>
        </w:tc>
        <w:tc>
          <w:tcPr>
            <w:tcW w:w="4320" w:type="dxa"/>
          </w:tcPr>
          <w:p w14:paraId="2FA3E608" w14:textId="77777777" w:rsidR="006B0D7A" w:rsidRPr="00464309" w:rsidRDefault="006B0D7A" w:rsidP="00843D29"/>
        </w:tc>
        <w:tc>
          <w:tcPr>
            <w:tcW w:w="1800" w:type="dxa"/>
          </w:tcPr>
          <w:p w14:paraId="3DBC8085" w14:textId="77777777" w:rsidR="006B0D7A" w:rsidRPr="00464309" w:rsidRDefault="006B0D7A" w:rsidP="00843D29"/>
        </w:tc>
      </w:tr>
      <w:tr w:rsidR="006B0D7A" w14:paraId="37A3C251" w14:textId="77777777" w:rsidTr="00843D29">
        <w:tc>
          <w:tcPr>
            <w:tcW w:w="3960" w:type="dxa"/>
          </w:tcPr>
          <w:p w14:paraId="78654A1A" w14:textId="77777777" w:rsidR="006B0D7A" w:rsidRPr="00464309" w:rsidRDefault="006B0D7A" w:rsidP="00843D29"/>
        </w:tc>
        <w:tc>
          <w:tcPr>
            <w:tcW w:w="4320" w:type="dxa"/>
          </w:tcPr>
          <w:p w14:paraId="60D8D25C" w14:textId="77777777" w:rsidR="006B0D7A" w:rsidRPr="00464309" w:rsidRDefault="006B0D7A" w:rsidP="00843D29"/>
        </w:tc>
        <w:tc>
          <w:tcPr>
            <w:tcW w:w="1800" w:type="dxa"/>
          </w:tcPr>
          <w:p w14:paraId="790B0AA1" w14:textId="77777777" w:rsidR="006B0D7A" w:rsidRPr="00464309" w:rsidRDefault="006B0D7A" w:rsidP="00843D29"/>
        </w:tc>
      </w:tr>
      <w:tr w:rsidR="006B0D7A" w14:paraId="1C6FE3D7" w14:textId="77777777" w:rsidTr="00843D29">
        <w:tc>
          <w:tcPr>
            <w:tcW w:w="3960" w:type="dxa"/>
          </w:tcPr>
          <w:p w14:paraId="206272C5" w14:textId="77777777" w:rsidR="006B0D7A" w:rsidRPr="00464309" w:rsidRDefault="006B0D7A" w:rsidP="00843D29"/>
        </w:tc>
        <w:tc>
          <w:tcPr>
            <w:tcW w:w="4320" w:type="dxa"/>
          </w:tcPr>
          <w:p w14:paraId="7BD9C522" w14:textId="77777777" w:rsidR="006B0D7A" w:rsidRPr="00464309" w:rsidRDefault="006B0D7A" w:rsidP="00843D29"/>
        </w:tc>
        <w:tc>
          <w:tcPr>
            <w:tcW w:w="1800" w:type="dxa"/>
          </w:tcPr>
          <w:p w14:paraId="6C6C93D3" w14:textId="77777777" w:rsidR="006B0D7A" w:rsidRPr="00464309" w:rsidRDefault="006B0D7A" w:rsidP="00843D29"/>
        </w:tc>
      </w:tr>
      <w:tr w:rsidR="006B0D7A" w14:paraId="5D12923E" w14:textId="77777777" w:rsidTr="00843D29">
        <w:tc>
          <w:tcPr>
            <w:tcW w:w="3960" w:type="dxa"/>
          </w:tcPr>
          <w:p w14:paraId="0B846F06" w14:textId="77777777" w:rsidR="006B0D7A" w:rsidRPr="00464309" w:rsidRDefault="006B0D7A" w:rsidP="00843D29"/>
        </w:tc>
        <w:tc>
          <w:tcPr>
            <w:tcW w:w="4320" w:type="dxa"/>
          </w:tcPr>
          <w:p w14:paraId="72A3EA54" w14:textId="77777777" w:rsidR="006B0D7A" w:rsidRPr="00464309" w:rsidRDefault="006B0D7A" w:rsidP="00843D29"/>
        </w:tc>
        <w:tc>
          <w:tcPr>
            <w:tcW w:w="1800" w:type="dxa"/>
          </w:tcPr>
          <w:p w14:paraId="15619EB7" w14:textId="77777777" w:rsidR="006B0D7A" w:rsidRPr="00464309" w:rsidRDefault="006B0D7A" w:rsidP="00843D29"/>
        </w:tc>
      </w:tr>
      <w:tr w:rsidR="006B0D7A" w14:paraId="0083373D" w14:textId="77777777" w:rsidTr="00843D29">
        <w:tc>
          <w:tcPr>
            <w:tcW w:w="3960" w:type="dxa"/>
          </w:tcPr>
          <w:p w14:paraId="2C814478" w14:textId="77777777" w:rsidR="006B0D7A" w:rsidRPr="00464309" w:rsidRDefault="006B0D7A" w:rsidP="00843D29"/>
        </w:tc>
        <w:tc>
          <w:tcPr>
            <w:tcW w:w="4320" w:type="dxa"/>
          </w:tcPr>
          <w:p w14:paraId="762C714E" w14:textId="77777777" w:rsidR="006B0D7A" w:rsidRPr="00464309" w:rsidRDefault="006B0D7A" w:rsidP="00843D29"/>
        </w:tc>
        <w:tc>
          <w:tcPr>
            <w:tcW w:w="1800" w:type="dxa"/>
          </w:tcPr>
          <w:p w14:paraId="2203A2A4" w14:textId="77777777" w:rsidR="006B0D7A" w:rsidRPr="00464309" w:rsidRDefault="006B0D7A" w:rsidP="00843D29"/>
        </w:tc>
      </w:tr>
      <w:tr w:rsidR="006B0D7A" w14:paraId="721FBEA3" w14:textId="77777777" w:rsidTr="00843D29">
        <w:tc>
          <w:tcPr>
            <w:tcW w:w="3960" w:type="dxa"/>
          </w:tcPr>
          <w:p w14:paraId="44EAC17A" w14:textId="77777777" w:rsidR="006B0D7A" w:rsidRPr="00464309" w:rsidRDefault="006B0D7A" w:rsidP="00843D29"/>
        </w:tc>
        <w:tc>
          <w:tcPr>
            <w:tcW w:w="4320" w:type="dxa"/>
          </w:tcPr>
          <w:p w14:paraId="7D0D4680" w14:textId="77777777" w:rsidR="006B0D7A" w:rsidRPr="00464309" w:rsidRDefault="006B0D7A" w:rsidP="00843D29"/>
        </w:tc>
        <w:tc>
          <w:tcPr>
            <w:tcW w:w="1800" w:type="dxa"/>
          </w:tcPr>
          <w:p w14:paraId="0156985C" w14:textId="77777777" w:rsidR="006B0D7A" w:rsidRPr="00464309" w:rsidRDefault="006B0D7A" w:rsidP="00843D29"/>
        </w:tc>
      </w:tr>
      <w:tr w:rsidR="006B0D7A" w14:paraId="61C8999A" w14:textId="77777777" w:rsidTr="00843D29">
        <w:tc>
          <w:tcPr>
            <w:tcW w:w="3960" w:type="dxa"/>
          </w:tcPr>
          <w:p w14:paraId="46E15C6A" w14:textId="77777777" w:rsidR="006B0D7A" w:rsidRPr="00464309" w:rsidRDefault="006B0D7A" w:rsidP="00843D29"/>
        </w:tc>
        <w:tc>
          <w:tcPr>
            <w:tcW w:w="4320" w:type="dxa"/>
          </w:tcPr>
          <w:p w14:paraId="4EA334C9" w14:textId="77777777" w:rsidR="006B0D7A" w:rsidRPr="00464309" w:rsidRDefault="006B0D7A" w:rsidP="00843D29"/>
        </w:tc>
        <w:tc>
          <w:tcPr>
            <w:tcW w:w="1800" w:type="dxa"/>
          </w:tcPr>
          <w:p w14:paraId="662CDA89" w14:textId="77777777" w:rsidR="006B0D7A" w:rsidRPr="00464309" w:rsidRDefault="006B0D7A" w:rsidP="00843D29"/>
        </w:tc>
      </w:tr>
      <w:tr w:rsidR="006B0D7A" w14:paraId="1C3BE294" w14:textId="77777777" w:rsidTr="00843D29">
        <w:tc>
          <w:tcPr>
            <w:tcW w:w="3960" w:type="dxa"/>
          </w:tcPr>
          <w:p w14:paraId="67B98EFF" w14:textId="77777777" w:rsidR="006B0D7A" w:rsidRPr="00464309" w:rsidRDefault="006B0D7A" w:rsidP="00843D29"/>
        </w:tc>
        <w:tc>
          <w:tcPr>
            <w:tcW w:w="4320" w:type="dxa"/>
          </w:tcPr>
          <w:p w14:paraId="54AFB59C" w14:textId="77777777" w:rsidR="006B0D7A" w:rsidRPr="00464309" w:rsidRDefault="006B0D7A" w:rsidP="00843D29"/>
        </w:tc>
        <w:tc>
          <w:tcPr>
            <w:tcW w:w="1800" w:type="dxa"/>
          </w:tcPr>
          <w:p w14:paraId="73D70DDE" w14:textId="77777777" w:rsidR="006B0D7A" w:rsidRPr="00464309" w:rsidRDefault="006B0D7A" w:rsidP="00843D29"/>
        </w:tc>
      </w:tr>
      <w:tr w:rsidR="006B0D7A" w14:paraId="7F4B598F" w14:textId="77777777" w:rsidTr="00843D29">
        <w:tc>
          <w:tcPr>
            <w:tcW w:w="3960" w:type="dxa"/>
          </w:tcPr>
          <w:p w14:paraId="40701504" w14:textId="77777777" w:rsidR="006B0D7A" w:rsidRPr="00464309" w:rsidRDefault="006B0D7A" w:rsidP="00843D29"/>
        </w:tc>
        <w:tc>
          <w:tcPr>
            <w:tcW w:w="4320" w:type="dxa"/>
          </w:tcPr>
          <w:p w14:paraId="26E31EB6" w14:textId="77777777" w:rsidR="006B0D7A" w:rsidRPr="00464309" w:rsidRDefault="006B0D7A" w:rsidP="00843D29"/>
        </w:tc>
        <w:tc>
          <w:tcPr>
            <w:tcW w:w="1800" w:type="dxa"/>
          </w:tcPr>
          <w:p w14:paraId="721DE0F0" w14:textId="77777777" w:rsidR="006B0D7A" w:rsidRPr="00464309" w:rsidRDefault="006B0D7A" w:rsidP="00843D29"/>
        </w:tc>
      </w:tr>
      <w:tr w:rsidR="006B0D7A" w14:paraId="09FEB2EF" w14:textId="77777777" w:rsidTr="00843D29">
        <w:tc>
          <w:tcPr>
            <w:tcW w:w="3960" w:type="dxa"/>
          </w:tcPr>
          <w:p w14:paraId="08B7C541" w14:textId="77777777" w:rsidR="006B0D7A" w:rsidRPr="00464309" w:rsidRDefault="006B0D7A" w:rsidP="00843D29"/>
        </w:tc>
        <w:tc>
          <w:tcPr>
            <w:tcW w:w="4320" w:type="dxa"/>
          </w:tcPr>
          <w:p w14:paraId="0D16FD4C" w14:textId="77777777" w:rsidR="006B0D7A" w:rsidRPr="00464309" w:rsidRDefault="006B0D7A" w:rsidP="00843D29"/>
        </w:tc>
        <w:tc>
          <w:tcPr>
            <w:tcW w:w="1800" w:type="dxa"/>
          </w:tcPr>
          <w:p w14:paraId="4600064E" w14:textId="77777777" w:rsidR="006B0D7A" w:rsidRPr="00464309" w:rsidRDefault="006B0D7A" w:rsidP="00843D29"/>
        </w:tc>
      </w:tr>
      <w:tr w:rsidR="006B0D7A" w14:paraId="4987E29B" w14:textId="77777777" w:rsidTr="00843D29">
        <w:tc>
          <w:tcPr>
            <w:tcW w:w="3960" w:type="dxa"/>
          </w:tcPr>
          <w:p w14:paraId="0B233113" w14:textId="77777777" w:rsidR="006B0D7A" w:rsidRPr="00464309" w:rsidRDefault="006B0D7A" w:rsidP="00843D29"/>
        </w:tc>
        <w:tc>
          <w:tcPr>
            <w:tcW w:w="4320" w:type="dxa"/>
          </w:tcPr>
          <w:p w14:paraId="601E6CDC" w14:textId="77777777" w:rsidR="006B0D7A" w:rsidRPr="00464309" w:rsidRDefault="006B0D7A" w:rsidP="00843D29"/>
        </w:tc>
        <w:tc>
          <w:tcPr>
            <w:tcW w:w="1800" w:type="dxa"/>
          </w:tcPr>
          <w:p w14:paraId="0A430E4A" w14:textId="77777777" w:rsidR="006B0D7A" w:rsidRPr="00464309" w:rsidRDefault="006B0D7A" w:rsidP="00843D29"/>
        </w:tc>
      </w:tr>
      <w:tr w:rsidR="006B0D7A" w14:paraId="73E39AD2" w14:textId="77777777" w:rsidTr="00843D29">
        <w:tc>
          <w:tcPr>
            <w:tcW w:w="3960" w:type="dxa"/>
          </w:tcPr>
          <w:p w14:paraId="7D0D3736" w14:textId="77777777" w:rsidR="006B0D7A" w:rsidRPr="00464309" w:rsidRDefault="006B0D7A" w:rsidP="00843D29"/>
        </w:tc>
        <w:tc>
          <w:tcPr>
            <w:tcW w:w="4320" w:type="dxa"/>
          </w:tcPr>
          <w:p w14:paraId="7F0C09D3" w14:textId="77777777" w:rsidR="006B0D7A" w:rsidRPr="00464309" w:rsidRDefault="006B0D7A" w:rsidP="00843D29"/>
        </w:tc>
        <w:tc>
          <w:tcPr>
            <w:tcW w:w="1800" w:type="dxa"/>
          </w:tcPr>
          <w:p w14:paraId="0BE1E38F" w14:textId="77777777" w:rsidR="006B0D7A" w:rsidRPr="00464309" w:rsidRDefault="006B0D7A" w:rsidP="00843D29"/>
        </w:tc>
      </w:tr>
      <w:tr w:rsidR="006B0D7A" w14:paraId="7C423A38" w14:textId="77777777" w:rsidTr="00843D29">
        <w:tc>
          <w:tcPr>
            <w:tcW w:w="3960" w:type="dxa"/>
          </w:tcPr>
          <w:p w14:paraId="7DB75B21" w14:textId="77777777" w:rsidR="006B0D7A" w:rsidRPr="00464309" w:rsidRDefault="006B0D7A" w:rsidP="00843D29"/>
        </w:tc>
        <w:tc>
          <w:tcPr>
            <w:tcW w:w="4320" w:type="dxa"/>
          </w:tcPr>
          <w:p w14:paraId="7E2FF01A" w14:textId="77777777" w:rsidR="006B0D7A" w:rsidRPr="00464309" w:rsidRDefault="006B0D7A" w:rsidP="00843D29"/>
        </w:tc>
        <w:tc>
          <w:tcPr>
            <w:tcW w:w="1800" w:type="dxa"/>
          </w:tcPr>
          <w:p w14:paraId="101B2409" w14:textId="77777777" w:rsidR="006B0D7A" w:rsidRPr="00464309" w:rsidRDefault="006B0D7A" w:rsidP="00843D29"/>
        </w:tc>
      </w:tr>
      <w:tr w:rsidR="006B0D7A" w14:paraId="3708C0DF" w14:textId="77777777" w:rsidTr="00843D29">
        <w:tc>
          <w:tcPr>
            <w:tcW w:w="3960" w:type="dxa"/>
          </w:tcPr>
          <w:p w14:paraId="13C06517" w14:textId="77777777" w:rsidR="006B0D7A" w:rsidRPr="00464309" w:rsidRDefault="006B0D7A" w:rsidP="00843D29"/>
        </w:tc>
        <w:tc>
          <w:tcPr>
            <w:tcW w:w="4320" w:type="dxa"/>
          </w:tcPr>
          <w:p w14:paraId="56F2E8D0" w14:textId="77777777" w:rsidR="006B0D7A" w:rsidRPr="00464309" w:rsidRDefault="006B0D7A" w:rsidP="00843D29"/>
        </w:tc>
        <w:tc>
          <w:tcPr>
            <w:tcW w:w="1800" w:type="dxa"/>
          </w:tcPr>
          <w:p w14:paraId="3FDA5C03" w14:textId="77777777" w:rsidR="006B0D7A" w:rsidRPr="00464309" w:rsidRDefault="006B0D7A" w:rsidP="00843D29"/>
        </w:tc>
      </w:tr>
      <w:tr w:rsidR="006B0D7A" w14:paraId="3434381E" w14:textId="77777777" w:rsidTr="00843D29">
        <w:tc>
          <w:tcPr>
            <w:tcW w:w="3960" w:type="dxa"/>
          </w:tcPr>
          <w:p w14:paraId="65DC066C" w14:textId="77777777" w:rsidR="006B0D7A" w:rsidRPr="00464309" w:rsidRDefault="006B0D7A" w:rsidP="00843D29"/>
        </w:tc>
        <w:tc>
          <w:tcPr>
            <w:tcW w:w="4320" w:type="dxa"/>
          </w:tcPr>
          <w:p w14:paraId="44EF4E27" w14:textId="77777777" w:rsidR="006B0D7A" w:rsidRPr="00464309" w:rsidRDefault="006B0D7A" w:rsidP="00843D29"/>
        </w:tc>
        <w:tc>
          <w:tcPr>
            <w:tcW w:w="1800" w:type="dxa"/>
          </w:tcPr>
          <w:p w14:paraId="2B95FDBE" w14:textId="77777777" w:rsidR="006B0D7A" w:rsidRPr="00464309" w:rsidRDefault="006B0D7A" w:rsidP="00843D29"/>
        </w:tc>
      </w:tr>
      <w:tr w:rsidR="006B0D7A" w14:paraId="19C508AD" w14:textId="77777777" w:rsidTr="00843D29">
        <w:tc>
          <w:tcPr>
            <w:tcW w:w="3960" w:type="dxa"/>
          </w:tcPr>
          <w:p w14:paraId="5259A56C" w14:textId="77777777" w:rsidR="006B0D7A" w:rsidRPr="00464309" w:rsidRDefault="006B0D7A" w:rsidP="00843D29"/>
        </w:tc>
        <w:tc>
          <w:tcPr>
            <w:tcW w:w="4320" w:type="dxa"/>
          </w:tcPr>
          <w:p w14:paraId="542C07DC" w14:textId="77777777" w:rsidR="006B0D7A" w:rsidRPr="00464309" w:rsidRDefault="006B0D7A" w:rsidP="00843D29"/>
        </w:tc>
        <w:tc>
          <w:tcPr>
            <w:tcW w:w="1800" w:type="dxa"/>
          </w:tcPr>
          <w:p w14:paraId="383664C7" w14:textId="77777777" w:rsidR="006B0D7A" w:rsidRPr="00464309" w:rsidRDefault="006B0D7A" w:rsidP="00843D29"/>
        </w:tc>
      </w:tr>
      <w:tr w:rsidR="006B0D7A" w14:paraId="26170086" w14:textId="77777777" w:rsidTr="00843D29">
        <w:tc>
          <w:tcPr>
            <w:tcW w:w="3960" w:type="dxa"/>
          </w:tcPr>
          <w:p w14:paraId="36EA9B48" w14:textId="77777777" w:rsidR="006B0D7A" w:rsidRPr="00464309" w:rsidRDefault="006B0D7A" w:rsidP="00843D29"/>
        </w:tc>
        <w:tc>
          <w:tcPr>
            <w:tcW w:w="4320" w:type="dxa"/>
          </w:tcPr>
          <w:p w14:paraId="6153E91A" w14:textId="77777777" w:rsidR="006B0D7A" w:rsidRPr="00464309" w:rsidRDefault="006B0D7A" w:rsidP="00843D29"/>
        </w:tc>
        <w:tc>
          <w:tcPr>
            <w:tcW w:w="1800" w:type="dxa"/>
          </w:tcPr>
          <w:p w14:paraId="6B228361" w14:textId="77777777" w:rsidR="006B0D7A" w:rsidRPr="00464309" w:rsidRDefault="006B0D7A" w:rsidP="00843D29"/>
        </w:tc>
      </w:tr>
      <w:tr w:rsidR="006B0D7A" w14:paraId="61892EF6" w14:textId="77777777" w:rsidTr="00843D29">
        <w:tc>
          <w:tcPr>
            <w:tcW w:w="3960" w:type="dxa"/>
          </w:tcPr>
          <w:p w14:paraId="5B7BD7E4" w14:textId="77777777" w:rsidR="006B0D7A" w:rsidRPr="00464309" w:rsidRDefault="006B0D7A" w:rsidP="00843D29"/>
        </w:tc>
        <w:tc>
          <w:tcPr>
            <w:tcW w:w="4320" w:type="dxa"/>
          </w:tcPr>
          <w:p w14:paraId="39161D0C" w14:textId="77777777" w:rsidR="006B0D7A" w:rsidRPr="00464309" w:rsidRDefault="006B0D7A" w:rsidP="00843D29"/>
        </w:tc>
        <w:tc>
          <w:tcPr>
            <w:tcW w:w="1800" w:type="dxa"/>
          </w:tcPr>
          <w:p w14:paraId="20651952" w14:textId="77777777" w:rsidR="006B0D7A" w:rsidRPr="00464309" w:rsidRDefault="006B0D7A" w:rsidP="00843D29"/>
        </w:tc>
      </w:tr>
      <w:tr w:rsidR="006B0D7A" w14:paraId="1CB7CA8B" w14:textId="77777777" w:rsidTr="00843D29">
        <w:tc>
          <w:tcPr>
            <w:tcW w:w="3960" w:type="dxa"/>
          </w:tcPr>
          <w:p w14:paraId="66DB7AD7" w14:textId="77777777" w:rsidR="006B0D7A" w:rsidRPr="00464309" w:rsidRDefault="006B0D7A" w:rsidP="00843D29"/>
        </w:tc>
        <w:tc>
          <w:tcPr>
            <w:tcW w:w="4320" w:type="dxa"/>
          </w:tcPr>
          <w:p w14:paraId="0D048464" w14:textId="77777777" w:rsidR="006B0D7A" w:rsidRPr="00464309" w:rsidRDefault="006B0D7A" w:rsidP="00843D29"/>
        </w:tc>
        <w:tc>
          <w:tcPr>
            <w:tcW w:w="1800" w:type="dxa"/>
          </w:tcPr>
          <w:p w14:paraId="0157B498" w14:textId="77777777" w:rsidR="006B0D7A" w:rsidRPr="00464309" w:rsidRDefault="006B0D7A" w:rsidP="00843D29"/>
        </w:tc>
      </w:tr>
      <w:tr w:rsidR="006B0D7A" w14:paraId="147F7C0B" w14:textId="77777777" w:rsidTr="00843D29">
        <w:tc>
          <w:tcPr>
            <w:tcW w:w="3960" w:type="dxa"/>
          </w:tcPr>
          <w:p w14:paraId="51E1E720" w14:textId="77777777" w:rsidR="006B0D7A" w:rsidRPr="00464309" w:rsidRDefault="006B0D7A" w:rsidP="00843D29"/>
        </w:tc>
        <w:tc>
          <w:tcPr>
            <w:tcW w:w="4320" w:type="dxa"/>
          </w:tcPr>
          <w:p w14:paraId="626C978B" w14:textId="77777777" w:rsidR="006B0D7A" w:rsidRPr="00464309" w:rsidRDefault="006B0D7A" w:rsidP="00843D29"/>
        </w:tc>
        <w:tc>
          <w:tcPr>
            <w:tcW w:w="1800" w:type="dxa"/>
          </w:tcPr>
          <w:p w14:paraId="7AFE9AA4" w14:textId="77777777" w:rsidR="006B0D7A" w:rsidRPr="00464309" w:rsidRDefault="006B0D7A" w:rsidP="00843D29"/>
        </w:tc>
      </w:tr>
      <w:tr w:rsidR="006B0D7A" w14:paraId="2DE2F137" w14:textId="77777777" w:rsidTr="00843D29">
        <w:tc>
          <w:tcPr>
            <w:tcW w:w="3960" w:type="dxa"/>
          </w:tcPr>
          <w:p w14:paraId="79C66C36" w14:textId="77777777" w:rsidR="006B0D7A" w:rsidRPr="00464309" w:rsidRDefault="006B0D7A" w:rsidP="00843D29"/>
        </w:tc>
        <w:tc>
          <w:tcPr>
            <w:tcW w:w="4320" w:type="dxa"/>
          </w:tcPr>
          <w:p w14:paraId="4C3258FD" w14:textId="77777777" w:rsidR="006B0D7A" w:rsidRPr="00464309" w:rsidRDefault="006B0D7A" w:rsidP="00843D29"/>
        </w:tc>
        <w:tc>
          <w:tcPr>
            <w:tcW w:w="1800" w:type="dxa"/>
          </w:tcPr>
          <w:p w14:paraId="428CC80A" w14:textId="77777777" w:rsidR="006B0D7A" w:rsidRPr="00464309" w:rsidRDefault="006B0D7A" w:rsidP="00843D29"/>
        </w:tc>
      </w:tr>
      <w:tr w:rsidR="006B0D7A" w14:paraId="1189A27D" w14:textId="77777777" w:rsidTr="00843D29">
        <w:tc>
          <w:tcPr>
            <w:tcW w:w="3960" w:type="dxa"/>
          </w:tcPr>
          <w:p w14:paraId="764C8CB1" w14:textId="77777777" w:rsidR="006B0D7A" w:rsidRPr="00464309" w:rsidRDefault="006B0D7A" w:rsidP="00843D29"/>
        </w:tc>
        <w:tc>
          <w:tcPr>
            <w:tcW w:w="4320" w:type="dxa"/>
          </w:tcPr>
          <w:p w14:paraId="71BE479A" w14:textId="77777777" w:rsidR="006B0D7A" w:rsidRPr="00464309" w:rsidRDefault="006B0D7A" w:rsidP="00843D29"/>
        </w:tc>
        <w:tc>
          <w:tcPr>
            <w:tcW w:w="1800" w:type="dxa"/>
          </w:tcPr>
          <w:p w14:paraId="2BCDCEF7" w14:textId="77777777" w:rsidR="006B0D7A" w:rsidRPr="00464309" w:rsidRDefault="006B0D7A" w:rsidP="00843D29"/>
        </w:tc>
      </w:tr>
      <w:tr w:rsidR="006B0D7A" w14:paraId="5CFFD6C3" w14:textId="77777777" w:rsidTr="00843D29">
        <w:tc>
          <w:tcPr>
            <w:tcW w:w="3960" w:type="dxa"/>
          </w:tcPr>
          <w:p w14:paraId="682B5732" w14:textId="77777777" w:rsidR="006B0D7A" w:rsidRPr="00464309" w:rsidRDefault="006B0D7A" w:rsidP="00843D29"/>
        </w:tc>
        <w:tc>
          <w:tcPr>
            <w:tcW w:w="4320" w:type="dxa"/>
          </w:tcPr>
          <w:p w14:paraId="61BD056F" w14:textId="77777777" w:rsidR="006B0D7A" w:rsidRPr="00464309" w:rsidRDefault="006B0D7A" w:rsidP="00843D29"/>
        </w:tc>
        <w:tc>
          <w:tcPr>
            <w:tcW w:w="1800" w:type="dxa"/>
          </w:tcPr>
          <w:p w14:paraId="2B865F39" w14:textId="77777777" w:rsidR="006B0D7A" w:rsidRPr="00464309" w:rsidRDefault="006B0D7A" w:rsidP="00843D29"/>
        </w:tc>
      </w:tr>
      <w:tr w:rsidR="006B0D7A" w14:paraId="0E2D3958" w14:textId="77777777" w:rsidTr="00843D29">
        <w:tc>
          <w:tcPr>
            <w:tcW w:w="3960" w:type="dxa"/>
          </w:tcPr>
          <w:p w14:paraId="5DDED480" w14:textId="77777777" w:rsidR="006B0D7A" w:rsidRPr="00464309" w:rsidRDefault="006B0D7A" w:rsidP="00843D29"/>
        </w:tc>
        <w:tc>
          <w:tcPr>
            <w:tcW w:w="4320" w:type="dxa"/>
          </w:tcPr>
          <w:p w14:paraId="488B0E49" w14:textId="77777777" w:rsidR="006B0D7A" w:rsidRPr="00464309" w:rsidRDefault="006B0D7A" w:rsidP="00843D29"/>
        </w:tc>
        <w:tc>
          <w:tcPr>
            <w:tcW w:w="1800" w:type="dxa"/>
          </w:tcPr>
          <w:p w14:paraId="19AFF3EB" w14:textId="77777777" w:rsidR="006B0D7A" w:rsidRPr="00464309" w:rsidRDefault="006B0D7A" w:rsidP="00843D29"/>
        </w:tc>
      </w:tr>
      <w:tr w:rsidR="006B0D7A" w14:paraId="78BF50A0" w14:textId="77777777" w:rsidTr="00843D29">
        <w:tc>
          <w:tcPr>
            <w:tcW w:w="3960" w:type="dxa"/>
          </w:tcPr>
          <w:p w14:paraId="77FD9691" w14:textId="77777777" w:rsidR="006B0D7A" w:rsidRPr="00464309" w:rsidRDefault="006B0D7A" w:rsidP="00843D29"/>
        </w:tc>
        <w:tc>
          <w:tcPr>
            <w:tcW w:w="4320" w:type="dxa"/>
          </w:tcPr>
          <w:p w14:paraId="56864251" w14:textId="77777777" w:rsidR="006B0D7A" w:rsidRPr="00464309" w:rsidRDefault="006B0D7A" w:rsidP="00843D29"/>
        </w:tc>
        <w:tc>
          <w:tcPr>
            <w:tcW w:w="1800" w:type="dxa"/>
          </w:tcPr>
          <w:p w14:paraId="77AB1130" w14:textId="77777777" w:rsidR="006B0D7A" w:rsidRPr="00464309" w:rsidRDefault="006B0D7A" w:rsidP="00843D29"/>
        </w:tc>
      </w:tr>
      <w:tr w:rsidR="006B0D7A" w14:paraId="50EDA67A" w14:textId="77777777" w:rsidTr="00843D29">
        <w:tc>
          <w:tcPr>
            <w:tcW w:w="3960" w:type="dxa"/>
          </w:tcPr>
          <w:p w14:paraId="5E85036F" w14:textId="77777777" w:rsidR="006B0D7A" w:rsidRPr="00464309" w:rsidRDefault="006B0D7A" w:rsidP="00843D29"/>
        </w:tc>
        <w:tc>
          <w:tcPr>
            <w:tcW w:w="4320" w:type="dxa"/>
          </w:tcPr>
          <w:p w14:paraId="2FE19629" w14:textId="77777777" w:rsidR="006B0D7A" w:rsidRPr="00464309" w:rsidRDefault="006B0D7A" w:rsidP="00843D29"/>
        </w:tc>
        <w:tc>
          <w:tcPr>
            <w:tcW w:w="1800" w:type="dxa"/>
          </w:tcPr>
          <w:p w14:paraId="7C4A7EC1" w14:textId="77777777" w:rsidR="006B0D7A" w:rsidRPr="00464309" w:rsidRDefault="006B0D7A" w:rsidP="00843D29"/>
        </w:tc>
      </w:tr>
      <w:tr w:rsidR="006B0D7A" w14:paraId="4BC8DDCD" w14:textId="77777777" w:rsidTr="00843D29">
        <w:tc>
          <w:tcPr>
            <w:tcW w:w="3960" w:type="dxa"/>
          </w:tcPr>
          <w:p w14:paraId="4818739B" w14:textId="77777777" w:rsidR="006B0D7A" w:rsidRPr="00464309" w:rsidRDefault="006B0D7A" w:rsidP="00843D29"/>
        </w:tc>
        <w:tc>
          <w:tcPr>
            <w:tcW w:w="4320" w:type="dxa"/>
          </w:tcPr>
          <w:p w14:paraId="6D17E09D" w14:textId="77777777" w:rsidR="006B0D7A" w:rsidRPr="00464309" w:rsidRDefault="006B0D7A" w:rsidP="00843D29"/>
        </w:tc>
        <w:tc>
          <w:tcPr>
            <w:tcW w:w="1800" w:type="dxa"/>
          </w:tcPr>
          <w:p w14:paraId="4810E909" w14:textId="77777777" w:rsidR="006B0D7A" w:rsidRPr="00464309" w:rsidRDefault="006B0D7A" w:rsidP="00843D29"/>
        </w:tc>
      </w:tr>
      <w:tr w:rsidR="006B0D7A" w14:paraId="7782D178" w14:textId="77777777" w:rsidTr="00843D29">
        <w:tc>
          <w:tcPr>
            <w:tcW w:w="3960" w:type="dxa"/>
          </w:tcPr>
          <w:p w14:paraId="73F1F203" w14:textId="77777777" w:rsidR="006B0D7A" w:rsidRPr="00464309" w:rsidRDefault="006B0D7A" w:rsidP="00843D29"/>
        </w:tc>
        <w:tc>
          <w:tcPr>
            <w:tcW w:w="4320" w:type="dxa"/>
          </w:tcPr>
          <w:p w14:paraId="23DE568D" w14:textId="77777777" w:rsidR="006B0D7A" w:rsidRPr="00464309" w:rsidRDefault="006B0D7A" w:rsidP="00843D29"/>
        </w:tc>
        <w:tc>
          <w:tcPr>
            <w:tcW w:w="1800" w:type="dxa"/>
          </w:tcPr>
          <w:p w14:paraId="23AB23A2" w14:textId="77777777" w:rsidR="006B0D7A" w:rsidRPr="00464309" w:rsidRDefault="006B0D7A" w:rsidP="00843D29"/>
        </w:tc>
      </w:tr>
      <w:tr w:rsidR="006B0D7A" w14:paraId="05B21357" w14:textId="77777777" w:rsidTr="00843D29">
        <w:tc>
          <w:tcPr>
            <w:tcW w:w="3960" w:type="dxa"/>
          </w:tcPr>
          <w:p w14:paraId="70AADDB4" w14:textId="77777777" w:rsidR="006B0D7A" w:rsidRPr="00464309" w:rsidRDefault="006B0D7A" w:rsidP="00843D29"/>
        </w:tc>
        <w:tc>
          <w:tcPr>
            <w:tcW w:w="4320" w:type="dxa"/>
          </w:tcPr>
          <w:p w14:paraId="66083EFF" w14:textId="77777777" w:rsidR="006B0D7A" w:rsidRPr="00464309" w:rsidRDefault="006B0D7A" w:rsidP="00843D29"/>
        </w:tc>
        <w:tc>
          <w:tcPr>
            <w:tcW w:w="1800" w:type="dxa"/>
          </w:tcPr>
          <w:p w14:paraId="6565992C" w14:textId="77777777" w:rsidR="006B0D7A" w:rsidRPr="00464309" w:rsidRDefault="006B0D7A" w:rsidP="00843D29"/>
        </w:tc>
      </w:tr>
      <w:tr w:rsidR="006B0D7A" w14:paraId="46374495" w14:textId="77777777" w:rsidTr="00843D29">
        <w:tc>
          <w:tcPr>
            <w:tcW w:w="3960" w:type="dxa"/>
          </w:tcPr>
          <w:p w14:paraId="1B9CA8BB" w14:textId="77777777" w:rsidR="006B0D7A" w:rsidRPr="00464309" w:rsidRDefault="006B0D7A" w:rsidP="00843D29"/>
        </w:tc>
        <w:tc>
          <w:tcPr>
            <w:tcW w:w="4320" w:type="dxa"/>
          </w:tcPr>
          <w:p w14:paraId="6401C348" w14:textId="77777777" w:rsidR="006B0D7A" w:rsidRPr="00464309" w:rsidRDefault="006B0D7A" w:rsidP="00843D29"/>
        </w:tc>
        <w:tc>
          <w:tcPr>
            <w:tcW w:w="1800" w:type="dxa"/>
          </w:tcPr>
          <w:p w14:paraId="32AD8796" w14:textId="77777777" w:rsidR="006B0D7A" w:rsidRPr="00464309" w:rsidRDefault="006B0D7A" w:rsidP="00843D29"/>
        </w:tc>
      </w:tr>
      <w:tr w:rsidR="006B0D7A" w14:paraId="09B7FF5D" w14:textId="77777777" w:rsidTr="00843D29">
        <w:tc>
          <w:tcPr>
            <w:tcW w:w="3960" w:type="dxa"/>
          </w:tcPr>
          <w:p w14:paraId="514EDFB8" w14:textId="77777777" w:rsidR="006B0D7A" w:rsidRPr="00464309" w:rsidRDefault="006B0D7A" w:rsidP="00843D29"/>
        </w:tc>
        <w:tc>
          <w:tcPr>
            <w:tcW w:w="4320" w:type="dxa"/>
          </w:tcPr>
          <w:p w14:paraId="59E97CA5" w14:textId="77777777" w:rsidR="006B0D7A" w:rsidRPr="00464309" w:rsidRDefault="006B0D7A" w:rsidP="00843D29"/>
        </w:tc>
        <w:tc>
          <w:tcPr>
            <w:tcW w:w="1800" w:type="dxa"/>
          </w:tcPr>
          <w:p w14:paraId="6D5FA7DF" w14:textId="77777777" w:rsidR="006B0D7A" w:rsidRPr="00464309" w:rsidRDefault="006B0D7A" w:rsidP="00843D29"/>
        </w:tc>
      </w:tr>
      <w:tr w:rsidR="006B0D7A" w14:paraId="4BEC5B34" w14:textId="77777777" w:rsidTr="00843D29">
        <w:tc>
          <w:tcPr>
            <w:tcW w:w="3960" w:type="dxa"/>
          </w:tcPr>
          <w:p w14:paraId="72CC553E" w14:textId="77777777" w:rsidR="006B0D7A" w:rsidRPr="00464309" w:rsidRDefault="006B0D7A" w:rsidP="00843D29"/>
        </w:tc>
        <w:tc>
          <w:tcPr>
            <w:tcW w:w="4320" w:type="dxa"/>
          </w:tcPr>
          <w:p w14:paraId="23EF3026" w14:textId="77777777" w:rsidR="006B0D7A" w:rsidRPr="00464309" w:rsidRDefault="006B0D7A" w:rsidP="00843D29"/>
        </w:tc>
        <w:tc>
          <w:tcPr>
            <w:tcW w:w="1800" w:type="dxa"/>
          </w:tcPr>
          <w:p w14:paraId="2A16E8C3" w14:textId="77777777" w:rsidR="006B0D7A" w:rsidRPr="00464309" w:rsidRDefault="006B0D7A" w:rsidP="00843D29"/>
        </w:tc>
      </w:tr>
      <w:tr w:rsidR="006B0D7A" w14:paraId="5FEC3C56" w14:textId="77777777" w:rsidTr="00843D29">
        <w:tc>
          <w:tcPr>
            <w:tcW w:w="3960" w:type="dxa"/>
          </w:tcPr>
          <w:p w14:paraId="4573B5FA" w14:textId="77777777" w:rsidR="006B0D7A" w:rsidRPr="00464309" w:rsidRDefault="006B0D7A" w:rsidP="00843D29"/>
        </w:tc>
        <w:tc>
          <w:tcPr>
            <w:tcW w:w="4320" w:type="dxa"/>
          </w:tcPr>
          <w:p w14:paraId="03191ABB" w14:textId="77777777" w:rsidR="006B0D7A" w:rsidRPr="00464309" w:rsidRDefault="006B0D7A" w:rsidP="00843D29"/>
        </w:tc>
        <w:tc>
          <w:tcPr>
            <w:tcW w:w="1800" w:type="dxa"/>
          </w:tcPr>
          <w:p w14:paraId="7523226A" w14:textId="77777777" w:rsidR="006B0D7A" w:rsidRPr="00464309" w:rsidRDefault="006B0D7A" w:rsidP="00843D29"/>
        </w:tc>
      </w:tr>
    </w:tbl>
    <w:p w14:paraId="04D39B84" w14:textId="77777777" w:rsidR="00E86C33" w:rsidRPr="00E86C33" w:rsidRDefault="00E86C33">
      <w:pPr>
        <w:rPr>
          <w:rFonts w:ascii="Arial" w:hAnsi="Arial" w:cs="Arial"/>
        </w:rPr>
      </w:pPr>
    </w:p>
    <w:sectPr w:rsidR="00E86C33" w:rsidRPr="00E86C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CD1945"/>
    <w:multiLevelType w:val="hybridMultilevel"/>
    <w:tmpl w:val="569E461C"/>
    <w:lvl w:ilvl="0" w:tplc="5E426DC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E96CCE"/>
    <w:multiLevelType w:val="hybridMultilevel"/>
    <w:tmpl w:val="DF463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1B7798"/>
    <w:multiLevelType w:val="hybridMultilevel"/>
    <w:tmpl w:val="436AA9CC"/>
    <w:lvl w:ilvl="0" w:tplc="5E426DC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7B6EEF"/>
    <w:multiLevelType w:val="hybridMultilevel"/>
    <w:tmpl w:val="2144A082"/>
    <w:lvl w:ilvl="0" w:tplc="5E426DC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B7650D"/>
    <w:multiLevelType w:val="hybridMultilevel"/>
    <w:tmpl w:val="C936A5B2"/>
    <w:lvl w:ilvl="0" w:tplc="5E426DC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C33"/>
    <w:rsid w:val="001D49E4"/>
    <w:rsid w:val="002331B2"/>
    <w:rsid w:val="0024685E"/>
    <w:rsid w:val="00413AD6"/>
    <w:rsid w:val="005344F7"/>
    <w:rsid w:val="005509D1"/>
    <w:rsid w:val="005D35DF"/>
    <w:rsid w:val="005F73A1"/>
    <w:rsid w:val="006A2D87"/>
    <w:rsid w:val="006B0D7A"/>
    <w:rsid w:val="00702D2F"/>
    <w:rsid w:val="00861FB5"/>
    <w:rsid w:val="00C86875"/>
    <w:rsid w:val="00DD69F3"/>
    <w:rsid w:val="00DF6246"/>
    <w:rsid w:val="00E86C33"/>
    <w:rsid w:val="00F60D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47076"/>
  <w15:docId w15:val="{40BA2223-1B76-4CA8-8DEE-614DBD7E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C33"/>
    <w:pPr>
      <w:ind w:left="720"/>
      <w:contextualSpacing/>
    </w:pPr>
  </w:style>
  <w:style w:type="character" w:styleId="Hyperlink">
    <w:name w:val="Hyperlink"/>
    <w:basedOn w:val="DefaultParagraphFont"/>
    <w:uiPriority w:val="99"/>
    <w:unhideWhenUsed/>
    <w:rsid w:val="006A2D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005496">
      <w:bodyDiv w:val="1"/>
      <w:marLeft w:val="0"/>
      <w:marRight w:val="0"/>
      <w:marTop w:val="0"/>
      <w:marBottom w:val="0"/>
      <w:divBdr>
        <w:top w:val="none" w:sz="0" w:space="0" w:color="auto"/>
        <w:left w:val="none" w:sz="0" w:space="0" w:color="auto"/>
        <w:bottom w:val="none" w:sz="0" w:space="0" w:color="auto"/>
        <w:right w:val="none" w:sz="0" w:space="0" w:color="auto"/>
      </w:divBdr>
    </w:div>
    <w:div w:id="178743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l2518\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AAEAAAD/////AQAAAAAAAAAMAgAAAEVDaGVtNFdvcmQuQ29yZSwgVmVyc2lvbj0xLjYuMC4wLCBDdWx0dXJlPW5ldXRyYWwsIFB1YmxpY0tleVRva2VuPW51bGwHAQAAAAABAAAAAAAAAAQgQ2hlbTRXb3JkLkNvcmUuQ29udHJvbFByb3BlcnRpZXMCAAAACw==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7128C27D-58FF-4DCA-A0D6-F64A4860FCA9}">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Template>
  <TotalTime>10</TotalTime>
  <Pages>5</Pages>
  <Words>1258</Words>
  <Characters>7176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8418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dc:creator>
  <cp:lastModifiedBy>Linfoot, Josh</cp:lastModifiedBy>
  <cp:revision>10</cp:revision>
  <dcterms:created xsi:type="dcterms:W3CDTF">2013-07-19T07:01:00Z</dcterms:created>
  <dcterms:modified xsi:type="dcterms:W3CDTF">2021-09-13T12:21:00Z</dcterms:modified>
</cp:coreProperties>
</file>